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769B" w14:textId="0B224112" w:rsidR="0096763B" w:rsidRPr="004A6D24" w:rsidRDefault="0084651D" w:rsidP="004A6D24">
      <w:pPr>
        <w:pStyle w:val="Heading1"/>
        <w:rPr>
          <w:rFonts w:ascii="Calibri" w:hAnsi="Calibri" w:cs="Calibri"/>
          <w:b/>
          <w:bCs/>
          <w:color w:val="auto"/>
          <w:sz w:val="24"/>
          <w:szCs w:val="24"/>
        </w:rPr>
      </w:pPr>
      <w:r w:rsidRPr="004A6D24">
        <w:rPr>
          <w:rFonts w:ascii="Calibri" w:hAnsi="Calibri" w:cs="Calibri"/>
          <w:b/>
          <w:bCs/>
          <w:color w:val="auto"/>
          <w:sz w:val="24"/>
          <w:szCs w:val="24"/>
        </w:rPr>
        <w:t>Place factor commissioning for special school and enhanced resource provision within mainstream schools - standard operating procedure</w:t>
      </w:r>
    </w:p>
    <w:p w14:paraId="76570A46" w14:textId="77777777" w:rsidR="0096763B" w:rsidRDefault="0096763B" w:rsidP="0096763B">
      <w:pPr>
        <w:rPr>
          <w:sz w:val="24"/>
          <w:szCs w:val="24"/>
          <w:u w:val="single"/>
        </w:rPr>
      </w:pPr>
    </w:p>
    <w:p w14:paraId="043203D6" w14:textId="77777777" w:rsidR="0096763B" w:rsidRPr="004A6D24" w:rsidRDefault="0096763B" w:rsidP="004A6D24">
      <w:pPr>
        <w:pStyle w:val="Heading2"/>
        <w:rPr>
          <w:rFonts w:ascii="Calibri" w:hAnsi="Calibri" w:cs="Calibri"/>
          <w:color w:val="auto"/>
          <w:sz w:val="24"/>
          <w:szCs w:val="24"/>
          <w:u w:val="single"/>
        </w:rPr>
      </w:pPr>
      <w:r w:rsidRPr="004A6D24">
        <w:rPr>
          <w:rFonts w:ascii="Calibri" w:hAnsi="Calibri" w:cs="Calibri"/>
          <w:color w:val="auto"/>
          <w:sz w:val="24"/>
          <w:szCs w:val="24"/>
          <w:u w:val="single"/>
        </w:rPr>
        <w:t>Introduction</w:t>
      </w:r>
    </w:p>
    <w:p w14:paraId="0DC9EB82" w14:textId="77777777" w:rsidR="0096763B" w:rsidRDefault="0096763B" w:rsidP="0096763B">
      <w:pPr>
        <w:rPr>
          <w:sz w:val="24"/>
          <w:szCs w:val="24"/>
          <w:u w:val="single"/>
        </w:rPr>
      </w:pPr>
    </w:p>
    <w:p w14:paraId="76CC2E89" w14:textId="45C7C327" w:rsidR="0096763B" w:rsidRDefault="0096763B" w:rsidP="0096763B">
      <w:pPr>
        <w:rPr>
          <w:sz w:val="24"/>
          <w:szCs w:val="24"/>
        </w:rPr>
      </w:pPr>
      <w:r>
        <w:rPr>
          <w:sz w:val="24"/>
          <w:szCs w:val="24"/>
        </w:rPr>
        <w:t xml:space="preserve">This document sets out the operational </w:t>
      </w:r>
      <w:r w:rsidR="005B56B1">
        <w:rPr>
          <w:sz w:val="24"/>
          <w:szCs w:val="24"/>
        </w:rPr>
        <w:t xml:space="preserve">procedure </w:t>
      </w:r>
      <w:r>
        <w:rPr>
          <w:sz w:val="24"/>
          <w:szCs w:val="24"/>
        </w:rPr>
        <w:t>within Derbyshire Local Authority for the commissioning of the number of places within specialist provision in Derbyshire</w:t>
      </w:r>
      <w:r w:rsidR="005B56B1">
        <w:rPr>
          <w:sz w:val="24"/>
          <w:szCs w:val="24"/>
        </w:rPr>
        <w:t xml:space="preserve">, in accordance with the High Needs Funding </w:t>
      </w:r>
      <w:r w:rsidR="00052CDC">
        <w:rPr>
          <w:sz w:val="24"/>
          <w:szCs w:val="24"/>
        </w:rPr>
        <w:t xml:space="preserve">Operational </w:t>
      </w:r>
      <w:r w:rsidR="005B56B1">
        <w:rPr>
          <w:sz w:val="24"/>
          <w:szCs w:val="24"/>
        </w:rPr>
        <w:t>Guidance</w:t>
      </w:r>
      <w:r w:rsidR="00052CDC">
        <w:rPr>
          <w:sz w:val="24"/>
          <w:szCs w:val="24"/>
        </w:rPr>
        <w:t xml:space="preserve"> published annually by the DfE. </w:t>
      </w:r>
      <w:r>
        <w:rPr>
          <w:sz w:val="24"/>
          <w:szCs w:val="24"/>
        </w:rPr>
        <w:t>The process applies equally to maintained and academy special schools, mainstream schools with specialist enhanced resource (</w:t>
      </w:r>
      <w:r w:rsidR="00296C1C">
        <w:rPr>
          <w:sz w:val="24"/>
          <w:szCs w:val="24"/>
        </w:rPr>
        <w:t>‘</w:t>
      </w:r>
      <w:r>
        <w:rPr>
          <w:sz w:val="24"/>
          <w:szCs w:val="24"/>
        </w:rPr>
        <w:t>ERS</w:t>
      </w:r>
      <w:r w:rsidR="00296C1C">
        <w:rPr>
          <w:sz w:val="24"/>
          <w:szCs w:val="24"/>
        </w:rPr>
        <w:t>’</w:t>
      </w:r>
      <w:r>
        <w:rPr>
          <w:sz w:val="24"/>
          <w:szCs w:val="24"/>
        </w:rPr>
        <w:t>) provision and Support Centres, sited within the geographical area covered by Derbyshire Local Authority.</w:t>
      </w:r>
    </w:p>
    <w:p w14:paraId="12223210" w14:textId="77777777" w:rsidR="0096763B" w:rsidRDefault="0096763B" w:rsidP="0096763B">
      <w:pPr>
        <w:rPr>
          <w:sz w:val="24"/>
          <w:szCs w:val="24"/>
        </w:rPr>
      </w:pPr>
    </w:p>
    <w:p w14:paraId="44E73FB1" w14:textId="0B96CB1E" w:rsidR="0096763B" w:rsidRDefault="0096763B" w:rsidP="0096763B">
      <w:pPr>
        <w:rPr>
          <w:sz w:val="24"/>
          <w:szCs w:val="24"/>
        </w:rPr>
      </w:pPr>
      <w:r>
        <w:rPr>
          <w:sz w:val="24"/>
          <w:szCs w:val="24"/>
        </w:rPr>
        <w:t>For special schools and mainstream schools with ERS provision, the process is pertinent to the numbers of pupils who have been issued with an E</w:t>
      </w:r>
      <w:r w:rsidR="000334B9">
        <w:rPr>
          <w:sz w:val="24"/>
          <w:szCs w:val="24"/>
        </w:rPr>
        <w:t xml:space="preserve">ducation, </w:t>
      </w:r>
      <w:r>
        <w:rPr>
          <w:sz w:val="24"/>
          <w:szCs w:val="24"/>
        </w:rPr>
        <w:t>H</w:t>
      </w:r>
      <w:r w:rsidR="000334B9">
        <w:rPr>
          <w:sz w:val="24"/>
          <w:szCs w:val="24"/>
        </w:rPr>
        <w:t xml:space="preserve">ealth, and </w:t>
      </w:r>
      <w:r>
        <w:rPr>
          <w:sz w:val="24"/>
          <w:szCs w:val="24"/>
        </w:rPr>
        <w:t>C</w:t>
      </w:r>
      <w:r w:rsidR="000334B9">
        <w:rPr>
          <w:sz w:val="24"/>
          <w:szCs w:val="24"/>
        </w:rPr>
        <w:t>are</w:t>
      </w:r>
      <w:r>
        <w:rPr>
          <w:sz w:val="24"/>
          <w:szCs w:val="24"/>
        </w:rPr>
        <w:t xml:space="preserve"> Plan</w:t>
      </w:r>
      <w:r w:rsidR="000334B9">
        <w:rPr>
          <w:sz w:val="24"/>
          <w:szCs w:val="24"/>
        </w:rPr>
        <w:t xml:space="preserve"> (‘EHCP’)</w:t>
      </w:r>
      <w:r>
        <w:rPr>
          <w:sz w:val="24"/>
          <w:szCs w:val="24"/>
        </w:rPr>
        <w:t>, as admission to all such schools is determined through the naming of that school in Section I of an EHCP. For Support Centres this protocol concerns all pupils admitted.</w:t>
      </w:r>
    </w:p>
    <w:p w14:paraId="310FA3D3" w14:textId="77777777" w:rsidR="0096763B" w:rsidRDefault="0096763B" w:rsidP="0096763B">
      <w:pPr>
        <w:rPr>
          <w:sz w:val="24"/>
          <w:szCs w:val="24"/>
        </w:rPr>
      </w:pPr>
    </w:p>
    <w:p w14:paraId="768345C2" w14:textId="48336F85" w:rsidR="0096763B" w:rsidRDefault="000334B9" w:rsidP="0096763B">
      <w:pPr>
        <w:rPr>
          <w:sz w:val="24"/>
          <w:szCs w:val="24"/>
        </w:rPr>
      </w:pPr>
      <w:r>
        <w:rPr>
          <w:sz w:val="24"/>
          <w:szCs w:val="24"/>
        </w:rPr>
        <w:t>Local authorities in their</w:t>
      </w:r>
      <w:r w:rsidR="0096763B">
        <w:rPr>
          <w:sz w:val="24"/>
          <w:szCs w:val="24"/>
        </w:rPr>
        <w:t xml:space="preserve"> commissioning activity and </w:t>
      </w:r>
      <w:r>
        <w:rPr>
          <w:sz w:val="24"/>
          <w:szCs w:val="24"/>
        </w:rPr>
        <w:t xml:space="preserve">strategic </w:t>
      </w:r>
      <w:r w:rsidR="0096763B">
        <w:rPr>
          <w:sz w:val="24"/>
          <w:szCs w:val="24"/>
        </w:rPr>
        <w:t xml:space="preserve">planning </w:t>
      </w:r>
      <w:r w:rsidR="00724C8C">
        <w:rPr>
          <w:sz w:val="24"/>
          <w:szCs w:val="24"/>
        </w:rPr>
        <w:t>placements in special schools and ERS</w:t>
      </w:r>
      <w:r w:rsidR="00296C1C">
        <w:rPr>
          <w:sz w:val="24"/>
          <w:szCs w:val="24"/>
        </w:rPr>
        <w:t xml:space="preserve"> </w:t>
      </w:r>
      <w:r>
        <w:rPr>
          <w:sz w:val="24"/>
          <w:szCs w:val="24"/>
        </w:rPr>
        <w:t>are required to follow the processes and procedure</w:t>
      </w:r>
      <w:r w:rsidR="00296C1C">
        <w:rPr>
          <w:sz w:val="24"/>
          <w:szCs w:val="24"/>
        </w:rPr>
        <w:t>s</w:t>
      </w:r>
      <w:r>
        <w:rPr>
          <w:sz w:val="24"/>
          <w:szCs w:val="24"/>
        </w:rPr>
        <w:t xml:space="preserve"> as set out in the </w:t>
      </w:r>
      <w:hyperlink r:id="rId8" w:history="1">
        <w:r w:rsidRPr="000A1F02">
          <w:rPr>
            <w:rStyle w:val="Hyperlink"/>
            <w:sz w:val="24"/>
            <w:szCs w:val="24"/>
          </w:rPr>
          <w:t>Department for Education’s (‘DfE’)</w:t>
        </w:r>
        <w:r w:rsidR="0096763B" w:rsidRPr="000A1F02">
          <w:rPr>
            <w:rStyle w:val="Hyperlink"/>
            <w:sz w:val="24"/>
            <w:szCs w:val="24"/>
          </w:rPr>
          <w:t xml:space="preserve"> </w:t>
        </w:r>
        <w:r w:rsidRPr="000A1F02">
          <w:rPr>
            <w:rStyle w:val="Hyperlink"/>
            <w:i/>
            <w:iCs/>
            <w:sz w:val="24"/>
            <w:szCs w:val="24"/>
          </w:rPr>
          <w:t>High Needs Funding Operational Guidance</w:t>
        </w:r>
      </w:hyperlink>
      <w:r w:rsidR="008A4E13">
        <w:rPr>
          <w:i/>
          <w:iCs/>
          <w:sz w:val="24"/>
          <w:szCs w:val="24"/>
        </w:rPr>
        <w:t xml:space="preserve"> </w:t>
      </w:r>
      <w:r>
        <w:rPr>
          <w:sz w:val="24"/>
          <w:szCs w:val="24"/>
        </w:rPr>
        <w:t>which is</w:t>
      </w:r>
      <w:r w:rsidR="0096763B">
        <w:rPr>
          <w:sz w:val="24"/>
          <w:szCs w:val="24"/>
        </w:rPr>
        <w:t xml:space="preserve"> published in September in advance of the financial year to which it pertains.</w:t>
      </w:r>
    </w:p>
    <w:p w14:paraId="2518293A" w14:textId="77777777" w:rsidR="0096763B" w:rsidRDefault="0096763B" w:rsidP="0096763B">
      <w:pPr>
        <w:rPr>
          <w:sz w:val="24"/>
          <w:szCs w:val="24"/>
        </w:rPr>
      </w:pPr>
    </w:p>
    <w:p w14:paraId="2AF25264" w14:textId="77777777" w:rsidR="0096763B" w:rsidRPr="004A6D24" w:rsidRDefault="0096763B" w:rsidP="004A6D24">
      <w:pPr>
        <w:pStyle w:val="Heading2"/>
        <w:rPr>
          <w:rFonts w:asciiTheme="minorHAnsi" w:hAnsiTheme="minorHAnsi" w:cstheme="minorHAnsi"/>
          <w:color w:val="auto"/>
          <w:sz w:val="24"/>
          <w:szCs w:val="24"/>
          <w:u w:val="single"/>
        </w:rPr>
      </w:pPr>
      <w:r w:rsidRPr="004A6D24">
        <w:rPr>
          <w:rFonts w:asciiTheme="minorHAnsi" w:hAnsiTheme="minorHAnsi" w:cstheme="minorHAnsi"/>
          <w:color w:val="auto"/>
          <w:sz w:val="24"/>
          <w:szCs w:val="24"/>
          <w:u w:val="single"/>
        </w:rPr>
        <w:t>Responsible Officers</w:t>
      </w:r>
    </w:p>
    <w:p w14:paraId="2D4F8246" w14:textId="77777777" w:rsidR="0096763B" w:rsidRDefault="0096763B" w:rsidP="0096763B">
      <w:pPr>
        <w:rPr>
          <w:sz w:val="24"/>
          <w:szCs w:val="24"/>
        </w:rPr>
      </w:pPr>
      <w:r>
        <w:rPr>
          <w:sz w:val="24"/>
          <w:szCs w:val="24"/>
        </w:rPr>
        <w:t>The decisions on how many places to commission each school year in each special school and enhanced resource provision is made, in consultation with schools, by the following officers:</w:t>
      </w:r>
    </w:p>
    <w:p w14:paraId="5E4576E4" w14:textId="77777777" w:rsidR="0096763B" w:rsidRDefault="0096763B" w:rsidP="0096763B">
      <w:pPr>
        <w:rPr>
          <w:sz w:val="24"/>
          <w:szCs w:val="24"/>
        </w:rPr>
      </w:pPr>
    </w:p>
    <w:p w14:paraId="29EF0343" w14:textId="77777777" w:rsidR="0096763B" w:rsidRDefault="0096763B" w:rsidP="0096763B">
      <w:pPr>
        <w:pStyle w:val="ListParagraph"/>
        <w:numPr>
          <w:ilvl w:val="0"/>
          <w:numId w:val="1"/>
        </w:numPr>
        <w:rPr>
          <w:rFonts w:eastAsia="Times New Roman"/>
          <w:sz w:val="24"/>
          <w:szCs w:val="24"/>
        </w:rPr>
      </w:pPr>
      <w:r>
        <w:rPr>
          <w:rFonts w:eastAsia="Times New Roman"/>
          <w:sz w:val="24"/>
          <w:szCs w:val="24"/>
        </w:rPr>
        <w:t>SEND Commissioning Manager, SEND Service, Children’s Services</w:t>
      </w:r>
    </w:p>
    <w:p w14:paraId="515CF389" w14:textId="2F5BF54A" w:rsidR="0096763B" w:rsidRDefault="0096763B" w:rsidP="0096763B">
      <w:pPr>
        <w:pStyle w:val="ListParagraph"/>
        <w:numPr>
          <w:ilvl w:val="0"/>
          <w:numId w:val="1"/>
        </w:numPr>
        <w:rPr>
          <w:rFonts w:eastAsia="Times New Roman"/>
          <w:sz w:val="24"/>
          <w:szCs w:val="24"/>
        </w:rPr>
      </w:pPr>
      <w:r>
        <w:rPr>
          <w:rFonts w:eastAsia="Times New Roman"/>
          <w:sz w:val="24"/>
          <w:szCs w:val="24"/>
          <w:lang w:eastAsia="en-GB"/>
        </w:rPr>
        <w:t>Finance Officer, School Funding Team, Children’s Services</w:t>
      </w:r>
    </w:p>
    <w:p w14:paraId="75F7B292" w14:textId="5F95726A" w:rsidR="0096763B" w:rsidRDefault="00B3770E" w:rsidP="0096763B">
      <w:pPr>
        <w:rPr>
          <w:sz w:val="24"/>
          <w:szCs w:val="24"/>
        </w:rPr>
      </w:pPr>
      <w:r>
        <w:rPr>
          <w:sz w:val="24"/>
          <w:szCs w:val="24"/>
        </w:rPr>
        <w:t xml:space="preserve">(together referred </w:t>
      </w:r>
      <w:r w:rsidR="002B2225">
        <w:rPr>
          <w:sz w:val="24"/>
          <w:szCs w:val="24"/>
        </w:rPr>
        <w:t xml:space="preserve">to </w:t>
      </w:r>
      <w:r>
        <w:rPr>
          <w:sz w:val="24"/>
          <w:szCs w:val="24"/>
        </w:rPr>
        <w:t>hereafter as ‘</w:t>
      </w:r>
      <w:r w:rsidRPr="008A4E13">
        <w:rPr>
          <w:i/>
          <w:iCs/>
          <w:sz w:val="24"/>
          <w:szCs w:val="24"/>
        </w:rPr>
        <w:t>Designated Officers’</w:t>
      </w:r>
      <w:r>
        <w:rPr>
          <w:sz w:val="24"/>
          <w:szCs w:val="24"/>
        </w:rPr>
        <w:t>)</w:t>
      </w:r>
    </w:p>
    <w:p w14:paraId="553CDF86" w14:textId="77777777" w:rsidR="00B3770E" w:rsidRDefault="00B3770E" w:rsidP="0096763B">
      <w:pPr>
        <w:rPr>
          <w:sz w:val="24"/>
          <w:szCs w:val="24"/>
        </w:rPr>
      </w:pPr>
    </w:p>
    <w:p w14:paraId="3A8A8925" w14:textId="0BF09A62" w:rsidR="0096763B" w:rsidRDefault="0096763B" w:rsidP="0096763B">
      <w:pPr>
        <w:rPr>
          <w:sz w:val="24"/>
          <w:szCs w:val="24"/>
        </w:rPr>
      </w:pPr>
      <w:r>
        <w:rPr>
          <w:sz w:val="24"/>
          <w:szCs w:val="24"/>
        </w:rPr>
        <w:t xml:space="preserve">The </w:t>
      </w:r>
      <w:r w:rsidR="00B3770E">
        <w:rPr>
          <w:sz w:val="24"/>
          <w:szCs w:val="24"/>
        </w:rPr>
        <w:t>D</w:t>
      </w:r>
      <w:r>
        <w:rPr>
          <w:sz w:val="24"/>
          <w:szCs w:val="24"/>
        </w:rPr>
        <w:t xml:space="preserve">esignated </w:t>
      </w:r>
      <w:r w:rsidR="00B3770E">
        <w:rPr>
          <w:sz w:val="24"/>
          <w:szCs w:val="24"/>
        </w:rPr>
        <w:t>O</w:t>
      </w:r>
      <w:r>
        <w:rPr>
          <w:sz w:val="24"/>
          <w:szCs w:val="24"/>
        </w:rPr>
        <w:t>fficers are required to seek approval of the planned commissioned places with:</w:t>
      </w:r>
    </w:p>
    <w:p w14:paraId="6FBC1EE4" w14:textId="77777777" w:rsidR="0096763B" w:rsidRDefault="0096763B" w:rsidP="0096763B">
      <w:pPr>
        <w:pStyle w:val="ListParagraph"/>
        <w:numPr>
          <w:ilvl w:val="0"/>
          <w:numId w:val="2"/>
        </w:numPr>
        <w:rPr>
          <w:rFonts w:eastAsia="Times New Roman"/>
          <w:sz w:val="24"/>
          <w:szCs w:val="24"/>
          <w:lang w:eastAsia="en-GB"/>
        </w:rPr>
      </w:pPr>
      <w:r>
        <w:rPr>
          <w:rFonts w:eastAsia="Times New Roman"/>
          <w:sz w:val="24"/>
          <w:szCs w:val="24"/>
          <w:lang w:eastAsia="en-GB"/>
        </w:rPr>
        <w:t xml:space="preserve">Assistant Director, Learning Access and Inclusion, Children’s Services </w:t>
      </w:r>
    </w:p>
    <w:p w14:paraId="1EF9F17D" w14:textId="77777777" w:rsidR="0096763B" w:rsidRDefault="0096763B" w:rsidP="0096763B">
      <w:pPr>
        <w:pStyle w:val="ListParagraph"/>
        <w:numPr>
          <w:ilvl w:val="0"/>
          <w:numId w:val="2"/>
        </w:numPr>
        <w:rPr>
          <w:rFonts w:eastAsia="Times New Roman"/>
          <w:sz w:val="24"/>
          <w:szCs w:val="24"/>
        </w:rPr>
      </w:pPr>
      <w:r>
        <w:rPr>
          <w:rFonts w:eastAsia="Times New Roman"/>
          <w:sz w:val="24"/>
          <w:szCs w:val="24"/>
          <w:lang w:eastAsia="en-GB"/>
        </w:rPr>
        <w:t>Head of Service Finance (Schools), Finance, Children’s Services</w:t>
      </w:r>
    </w:p>
    <w:p w14:paraId="75B2082C" w14:textId="77777777" w:rsidR="0096763B" w:rsidRDefault="0096763B" w:rsidP="0096763B">
      <w:pPr>
        <w:rPr>
          <w:sz w:val="24"/>
          <w:szCs w:val="24"/>
          <w:u w:val="single"/>
        </w:rPr>
      </w:pPr>
    </w:p>
    <w:p w14:paraId="49F06FED" w14:textId="77777777" w:rsidR="0096763B" w:rsidRPr="004A6D24" w:rsidRDefault="0096763B" w:rsidP="004A6D24">
      <w:pPr>
        <w:pStyle w:val="Heading2"/>
        <w:rPr>
          <w:rFonts w:ascii="Calibri" w:hAnsi="Calibri" w:cs="Calibri"/>
          <w:color w:val="auto"/>
          <w:sz w:val="24"/>
          <w:szCs w:val="24"/>
          <w:u w:val="single"/>
        </w:rPr>
      </w:pPr>
      <w:r w:rsidRPr="004A6D24">
        <w:rPr>
          <w:rFonts w:ascii="Calibri" w:hAnsi="Calibri" w:cs="Calibri"/>
          <w:color w:val="auto"/>
          <w:sz w:val="24"/>
          <w:szCs w:val="24"/>
          <w:u w:val="single"/>
        </w:rPr>
        <w:t>Net Capacity of Special Schools</w:t>
      </w:r>
    </w:p>
    <w:p w14:paraId="2802BF53" w14:textId="4E19BEB5" w:rsidR="0096763B" w:rsidRDefault="0096763B" w:rsidP="0096763B">
      <w:pPr>
        <w:rPr>
          <w:i/>
          <w:iCs/>
          <w:sz w:val="24"/>
          <w:szCs w:val="24"/>
        </w:rPr>
      </w:pPr>
    </w:p>
    <w:p w14:paraId="0C72A008" w14:textId="5C3BA8F1" w:rsidR="0096763B" w:rsidRDefault="0096763B" w:rsidP="0096763B">
      <w:pPr>
        <w:rPr>
          <w:sz w:val="24"/>
          <w:szCs w:val="24"/>
        </w:rPr>
      </w:pPr>
      <w:r>
        <w:rPr>
          <w:sz w:val="24"/>
          <w:szCs w:val="24"/>
        </w:rPr>
        <w:t xml:space="preserve">The net capacity of a Special School is governed by the guidance – </w:t>
      </w:r>
      <w:hyperlink r:id="rId9" w:history="1">
        <w:r w:rsidRPr="003B615F">
          <w:rPr>
            <w:rStyle w:val="Hyperlink"/>
            <w:sz w:val="24"/>
            <w:szCs w:val="24"/>
          </w:rPr>
          <w:t>‘Area guidelines for SEND and alternative provision’</w:t>
        </w:r>
      </w:hyperlink>
      <w:r w:rsidRPr="008A4E13">
        <w:rPr>
          <w:i/>
          <w:iCs/>
          <w:sz w:val="24"/>
          <w:szCs w:val="24"/>
        </w:rPr>
        <w:t xml:space="preserve"> </w:t>
      </w:r>
      <w:r>
        <w:rPr>
          <w:sz w:val="24"/>
          <w:szCs w:val="24"/>
        </w:rPr>
        <w:t>which is Building Bulletin 104 dated December 2015</w:t>
      </w:r>
      <w:r w:rsidR="003B615F">
        <w:rPr>
          <w:sz w:val="24"/>
          <w:szCs w:val="24"/>
        </w:rPr>
        <w:t>.</w:t>
      </w:r>
    </w:p>
    <w:p w14:paraId="77CD0515" w14:textId="77777777" w:rsidR="003B615F" w:rsidRDefault="003B615F" w:rsidP="0096763B">
      <w:pPr>
        <w:rPr>
          <w:sz w:val="24"/>
          <w:szCs w:val="24"/>
        </w:rPr>
      </w:pPr>
    </w:p>
    <w:p w14:paraId="24721452" w14:textId="04A9BFE6" w:rsidR="0096763B" w:rsidRDefault="0096763B" w:rsidP="008A4E13">
      <w:pPr>
        <w:pStyle w:val="CommentText"/>
        <w:rPr>
          <w:sz w:val="24"/>
          <w:szCs w:val="24"/>
        </w:rPr>
      </w:pPr>
      <w:r>
        <w:rPr>
          <w:sz w:val="24"/>
          <w:szCs w:val="24"/>
        </w:rPr>
        <w:t xml:space="preserve">In a Special School, the assessment of capacity is dependent on the needs of the children attending that school.  </w:t>
      </w:r>
      <w:r w:rsidR="008A4E13">
        <w:rPr>
          <w:sz w:val="24"/>
          <w:szCs w:val="24"/>
        </w:rPr>
        <w:t>The focus should be on assessing t</w:t>
      </w:r>
      <w:r w:rsidR="00052CDC" w:rsidRPr="00052CDC">
        <w:rPr>
          <w:sz w:val="24"/>
          <w:szCs w:val="24"/>
        </w:rPr>
        <w:t>he total cap</w:t>
      </w:r>
      <w:r w:rsidR="00052CDC" w:rsidRPr="008A4E13">
        <w:rPr>
          <w:sz w:val="24"/>
          <w:szCs w:val="24"/>
        </w:rPr>
        <w:t>acity</w:t>
      </w:r>
      <w:r w:rsidR="008A4E13">
        <w:rPr>
          <w:sz w:val="24"/>
          <w:szCs w:val="24"/>
        </w:rPr>
        <w:t xml:space="preserve"> of the school</w:t>
      </w:r>
      <w:r w:rsidR="00052CDC" w:rsidRPr="008A4E13">
        <w:rPr>
          <w:sz w:val="24"/>
          <w:szCs w:val="24"/>
        </w:rPr>
        <w:t xml:space="preserve">, with supporting information on the capacity of each teaching space and the methodology </w:t>
      </w:r>
      <w:r w:rsidR="00052CDC" w:rsidRPr="008A4E13">
        <w:rPr>
          <w:sz w:val="24"/>
          <w:szCs w:val="24"/>
        </w:rPr>
        <w:lastRenderedPageBreak/>
        <w:t>used (ambulant/non ambulant etc)</w:t>
      </w:r>
      <w:r w:rsidR="008A4E13">
        <w:rPr>
          <w:sz w:val="24"/>
          <w:szCs w:val="24"/>
        </w:rPr>
        <w:t>.</w:t>
      </w:r>
      <w:r w:rsidR="00052CDC">
        <w:rPr>
          <w:sz w:val="24"/>
          <w:szCs w:val="24"/>
        </w:rPr>
        <w:t xml:space="preserve"> </w:t>
      </w:r>
      <w:r>
        <w:rPr>
          <w:sz w:val="24"/>
          <w:szCs w:val="24"/>
        </w:rPr>
        <w:t>The school itself is best placed to assess the capacity and to review it on a regular basis as the pupils on roll change</w:t>
      </w:r>
      <w:r w:rsidR="00052CDC">
        <w:rPr>
          <w:sz w:val="24"/>
          <w:szCs w:val="24"/>
        </w:rPr>
        <w:t xml:space="preserve"> and </w:t>
      </w:r>
      <w:r w:rsidR="00052CDC" w:rsidRPr="008A4E13">
        <w:rPr>
          <w:sz w:val="24"/>
          <w:szCs w:val="24"/>
        </w:rPr>
        <w:t>then for the special school to inform SEND Commissioning Manager</w:t>
      </w:r>
      <w:r w:rsidR="00052CDC">
        <w:rPr>
          <w:sz w:val="24"/>
          <w:szCs w:val="24"/>
        </w:rPr>
        <w:t xml:space="preserve"> of any changes to that capacity that impact on the place planning decisions through the consultation process for establishing the commissioned number of places for the following year. </w:t>
      </w:r>
      <w:r>
        <w:rPr>
          <w:sz w:val="24"/>
          <w:szCs w:val="24"/>
        </w:rPr>
        <w:t xml:space="preserve"> </w:t>
      </w:r>
    </w:p>
    <w:p w14:paraId="47825738" w14:textId="77777777" w:rsidR="0096763B" w:rsidRDefault="0096763B" w:rsidP="0096763B">
      <w:pPr>
        <w:rPr>
          <w:sz w:val="24"/>
          <w:szCs w:val="24"/>
        </w:rPr>
      </w:pPr>
      <w:r>
        <w:rPr>
          <w:sz w:val="24"/>
          <w:szCs w:val="24"/>
        </w:rPr>
        <w:t>This information will inform the number of places available, identify accommodation requirements for the future and ensure that the pupils are taught in a safe environment.</w:t>
      </w:r>
    </w:p>
    <w:p w14:paraId="6E58D97B" w14:textId="77777777" w:rsidR="0096763B" w:rsidRDefault="0096763B" w:rsidP="0096763B">
      <w:pPr>
        <w:rPr>
          <w:sz w:val="24"/>
          <w:szCs w:val="24"/>
        </w:rPr>
      </w:pPr>
      <w:r>
        <w:rPr>
          <w:sz w:val="24"/>
          <w:szCs w:val="24"/>
        </w:rPr>
        <w:t xml:space="preserve">The information on capacity will then be considered within the Operational Procedure, described below. </w:t>
      </w:r>
    </w:p>
    <w:p w14:paraId="619C313A" w14:textId="77777777" w:rsidR="0096763B" w:rsidRDefault="0096763B" w:rsidP="0096763B">
      <w:pPr>
        <w:rPr>
          <w:sz w:val="24"/>
          <w:szCs w:val="24"/>
        </w:rPr>
      </w:pPr>
    </w:p>
    <w:p w14:paraId="40196D7D" w14:textId="3D55668E" w:rsidR="0096763B" w:rsidRPr="004A6D24" w:rsidRDefault="0096763B" w:rsidP="004A6D24">
      <w:pPr>
        <w:pStyle w:val="Heading2"/>
        <w:rPr>
          <w:rFonts w:ascii="Calibri" w:hAnsi="Calibri" w:cs="Calibri"/>
          <w:color w:val="auto"/>
          <w:sz w:val="24"/>
          <w:szCs w:val="24"/>
          <w:u w:val="single"/>
        </w:rPr>
      </w:pPr>
      <w:r w:rsidRPr="004A6D24">
        <w:rPr>
          <w:rFonts w:ascii="Calibri" w:hAnsi="Calibri" w:cs="Calibri"/>
          <w:color w:val="auto"/>
          <w:sz w:val="24"/>
          <w:szCs w:val="24"/>
          <w:u w:val="single"/>
        </w:rPr>
        <w:t>Operational Procedure</w:t>
      </w:r>
    </w:p>
    <w:p w14:paraId="104C32A6" w14:textId="77777777" w:rsidR="00E507CD" w:rsidRDefault="00E507CD" w:rsidP="0096763B">
      <w:pPr>
        <w:rPr>
          <w:sz w:val="24"/>
          <w:szCs w:val="24"/>
          <w:u w:val="single"/>
        </w:rPr>
      </w:pPr>
    </w:p>
    <w:p w14:paraId="2A8A3212" w14:textId="77777777" w:rsidR="0096763B" w:rsidRDefault="0096763B" w:rsidP="0096763B">
      <w:pPr>
        <w:rPr>
          <w:b/>
          <w:bCs/>
          <w:sz w:val="24"/>
          <w:szCs w:val="24"/>
        </w:rPr>
      </w:pPr>
      <w:r>
        <w:rPr>
          <w:b/>
          <w:bCs/>
          <w:sz w:val="24"/>
          <w:szCs w:val="24"/>
        </w:rPr>
        <w:t>Stage 1</w:t>
      </w:r>
    </w:p>
    <w:p w14:paraId="12AFB854" w14:textId="77777777" w:rsidR="0096763B" w:rsidRDefault="0096763B" w:rsidP="0096763B">
      <w:pPr>
        <w:rPr>
          <w:sz w:val="24"/>
          <w:szCs w:val="24"/>
        </w:rPr>
      </w:pPr>
      <w:r>
        <w:rPr>
          <w:sz w:val="24"/>
          <w:szCs w:val="24"/>
        </w:rPr>
        <w:t>Early October – SEND Commissioning Manager and Finance Officer meet to review the current commissioned places for the current academic year and the likely requirements for the next academic year, commencing in the September to follow.</w:t>
      </w:r>
    </w:p>
    <w:p w14:paraId="7A3F358B" w14:textId="7863B47F" w:rsidR="0096763B" w:rsidRDefault="0096763B" w:rsidP="0096763B">
      <w:pPr>
        <w:rPr>
          <w:sz w:val="24"/>
          <w:szCs w:val="24"/>
        </w:rPr>
      </w:pPr>
      <w:r>
        <w:rPr>
          <w:sz w:val="24"/>
          <w:szCs w:val="24"/>
        </w:rPr>
        <w:t xml:space="preserve">The </w:t>
      </w:r>
      <w:r w:rsidR="00B3770E">
        <w:rPr>
          <w:sz w:val="24"/>
          <w:szCs w:val="24"/>
        </w:rPr>
        <w:t>D</w:t>
      </w:r>
      <w:r>
        <w:rPr>
          <w:sz w:val="24"/>
          <w:szCs w:val="24"/>
        </w:rPr>
        <w:t xml:space="preserve">esignated </w:t>
      </w:r>
      <w:r w:rsidR="00B3770E">
        <w:rPr>
          <w:sz w:val="24"/>
          <w:szCs w:val="24"/>
        </w:rPr>
        <w:t>O</w:t>
      </w:r>
      <w:r>
        <w:rPr>
          <w:sz w:val="24"/>
          <w:szCs w:val="24"/>
        </w:rPr>
        <w:t>fficers will consider:</w:t>
      </w:r>
    </w:p>
    <w:p w14:paraId="65F61D30" w14:textId="2F67937C" w:rsidR="0096763B" w:rsidRDefault="0096763B" w:rsidP="0096763B">
      <w:pPr>
        <w:pStyle w:val="ListParagraph"/>
        <w:numPr>
          <w:ilvl w:val="0"/>
          <w:numId w:val="3"/>
        </w:numPr>
        <w:rPr>
          <w:rFonts w:eastAsia="Times New Roman"/>
          <w:sz w:val="24"/>
          <w:szCs w:val="24"/>
        </w:rPr>
      </w:pPr>
      <w:r>
        <w:rPr>
          <w:rFonts w:eastAsia="Times New Roman"/>
          <w:sz w:val="24"/>
          <w:szCs w:val="24"/>
        </w:rPr>
        <w:t xml:space="preserve">The current number of pupils formally </w:t>
      </w:r>
      <w:r>
        <w:rPr>
          <w:rFonts w:eastAsia="Times New Roman"/>
          <w:sz w:val="24"/>
          <w:szCs w:val="24"/>
          <w:u w:val="single"/>
        </w:rPr>
        <w:t>commissioned</w:t>
      </w:r>
      <w:r>
        <w:rPr>
          <w:rFonts w:eastAsia="Times New Roman"/>
          <w:sz w:val="24"/>
          <w:szCs w:val="24"/>
        </w:rPr>
        <w:t xml:space="preserve"> in the current academic year in each </w:t>
      </w:r>
      <w:r w:rsidR="00E507CD">
        <w:rPr>
          <w:rFonts w:eastAsia="Times New Roman"/>
          <w:sz w:val="24"/>
          <w:szCs w:val="24"/>
        </w:rPr>
        <w:t>setting.</w:t>
      </w:r>
    </w:p>
    <w:p w14:paraId="2DCAB8D8" w14:textId="7B79C623" w:rsidR="0096763B" w:rsidRDefault="0096763B" w:rsidP="0096763B">
      <w:pPr>
        <w:pStyle w:val="ListParagraph"/>
        <w:numPr>
          <w:ilvl w:val="0"/>
          <w:numId w:val="3"/>
        </w:numPr>
        <w:rPr>
          <w:rFonts w:eastAsia="Times New Roman"/>
          <w:sz w:val="24"/>
          <w:szCs w:val="24"/>
        </w:rPr>
      </w:pPr>
      <w:r>
        <w:rPr>
          <w:rFonts w:eastAsia="Times New Roman"/>
          <w:sz w:val="24"/>
          <w:szCs w:val="24"/>
        </w:rPr>
        <w:t xml:space="preserve">The current position of places </w:t>
      </w:r>
      <w:r>
        <w:rPr>
          <w:rFonts w:eastAsia="Times New Roman"/>
          <w:sz w:val="24"/>
          <w:szCs w:val="24"/>
          <w:u w:val="single"/>
        </w:rPr>
        <w:t>occupied</w:t>
      </w:r>
      <w:r>
        <w:rPr>
          <w:rFonts w:eastAsia="Times New Roman"/>
          <w:sz w:val="24"/>
          <w:szCs w:val="24"/>
        </w:rPr>
        <w:t xml:space="preserve"> in each </w:t>
      </w:r>
      <w:r w:rsidR="00E507CD">
        <w:rPr>
          <w:rFonts w:eastAsia="Times New Roman"/>
          <w:sz w:val="24"/>
          <w:szCs w:val="24"/>
        </w:rPr>
        <w:t>setting.</w:t>
      </w:r>
    </w:p>
    <w:p w14:paraId="5521FA5A" w14:textId="36A46997" w:rsidR="0096763B" w:rsidRDefault="0096763B" w:rsidP="0096763B">
      <w:pPr>
        <w:pStyle w:val="ListParagraph"/>
        <w:numPr>
          <w:ilvl w:val="0"/>
          <w:numId w:val="3"/>
        </w:numPr>
        <w:rPr>
          <w:rFonts w:eastAsia="Times New Roman"/>
          <w:sz w:val="24"/>
          <w:szCs w:val="24"/>
        </w:rPr>
      </w:pPr>
      <w:r>
        <w:rPr>
          <w:rFonts w:eastAsia="Times New Roman"/>
          <w:sz w:val="24"/>
          <w:szCs w:val="24"/>
        </w:rPr>
        <w:t>The variation of numbers between the two (in-year changes</w:t>
      </w:r>
      <w:r w:rsidR="00E507CD">
        <w:rPr>
          <w:rFonts w:eastAsia="Times New Roman"/>
          <w:sz w:val="24"/>
          <w:szCs w:val="24"/>
        </w:rPr>
        <w:t>).</w:t>
      </w:r>
    </w:p>
    <w:p w14:paraId="138E3E44" w14:textId="77777777" w:rsidR="0096763B" w:rsidRDefault="0096763B" w:rsidP="0096763B">
      <w:pPr>
        <w:pStyle w:val="ListParagraph"/>
        <w:numPr>
          <w:ilvl w:val="0"/>
          <w:numId w:val="3"/>
        </w:numPr>
        <w:rPr>
          <w:rFonts w:eastAsia="Times New Roman"/>
          <w:sz w:val="24"/>
          <w:szCs w:val="24"/>
        </w:rPr>
      </w:pPr>
      <w:r>
        <w:rPr>
          <w:rFonts w:eastAsia="Times New Roman"/>
          <w:sz w:val="24"/>
          <w:szCs w:val="24"/>
        </w:rPr>
        <w:t>The import and export balance, i.e. those pupils living in Derbyshire but educated in specialist state-funded special and enhanced resource mainstream schools and Support Centres sited in the geographical areas of other Local Authorities (export) and those living in other Local Authority areas educated in a Derbyshire-sited state-funded special and enhanced resource mainstream schools and Support Centres;</w:t>
      </w:r>
    </w:p>
    <w:p w14:paraId="52F77BF0" w14:textId="57ABC4E6" w:rsidR="0096763B" w:rsidRDefault="0096763B" w:rsidP="0096763B">
      <w:pPr>
        <w:pStyle w:val="ListParagraph"/>
        <w:numPr>
          <w:ilvl w:val="0"/>
          <w:numId w:val="3"/>
        </w:numPr>
        <w:rPr>
          <w:rFonts w:eastAsia="Times New Roman"/>
          <w:sz w:val="24"/>
          <w:szCs w:val="24"/>
        </w:rPr>
      </w:pPr>
      <w:r>
        <w:rPr>
          <w:rFonts w:eastAsia="Times New Roman"/>
          <w:sz w:val="24"/>
          <w:szCs w:val="24"/>
        </w:rPr>
        <w:t xml:space="preserve">The projected numbers of leavers in each setting in the following </w:t>
      </w:r>
      <w:r w:rsidR="00E507CD">
        <w:rPr>
          <w:rFonts w:eastAsia="Times New Roman"/>
          <w:sz w:val="24"/>
          <w:szCs w:val="24"/>
        </w:rPr>
        <w:t>July.</w:t>
      </w:r>
    </w:p>
    <w:p w14:paraId="7B5A79BB" w14:textId="77777777" w:rsidR="0096763B" w:rsidRDefault="0096763B" w:rsidP="0096763B">
      <w:pPr>
        <w:pStyle w:val="ListParagraph"/>
        <w:numPr>
          <w:ilvl w:val="0"/>
          <w:numId w:val="3"/>
        </w:numPr>
        <w:rPr>
          <w:rFonts w:eastAsia="Times New Roman"/>
          <w:sz w:val="24"/>
          <w:szCs w:val="24"/>
        </w:rPr>
      </w:pPr>
      <w:r>
        <w:rPr>
          <w:rFonts w:eastAsia="Times New Roman"/>
          <w:sz w:val="24"/>
          <w:szCs w:val="24"/>
        </w:rPr>
        <w:t>Any information available about numbers of any pre-agreed admissions for the following September.</w:t>
      </w:r>
    </w:p>
    <w:p w14:paraId="58FCE914" w14:textId="65EE4250" w:rsidR="0096763B" w:rsidRDefault="0096763B" w:rsidP="0096763B">
      <w:pPr>
        <w:pStyle w:val="ListParagraph"/>
        <w:numPr>
          <w:ilvl w:val="0"/>
          <w:numId w:val="3"/>
        </w:numPr>
        <w:rPr>
          <w:rFonts w:eastAsia="Times New Roman"/>
          <w:sz w:val="24"/>
          <w:szCs w:val="24"/>
        </w:rPr>
      </w:pPr>
      <w:r>
        <w:rPr>
          <w:rFonts w:eastAsia="Times New Roman"/>
          <w:sz w:val="24"/>
          <w:szCs w:val="24"/>
        </w:rPr>
        <w:t xml:space="preserve">The current allocation of High Needs Places from the </w:t>
      </w:r>
      <w:r w:rsidR="00E507CD">
        <w:rPr>
          <w:rFonts w:eastAsia="Times New Roman"/>
          <w:sz w:val="24"/>
          <w:szCs w:val="24"/>
        </w:rPr>
        <w:t>DfE.</w:t>
      </w:r>
    </w:p>
    <w:p w14:paraId="79867EB3" w14:textId="4A2D551B" w:rsidR="0096763B" w:rsidRDefault="0096763B" w:rsidP="0096763B">
      <w:pPr>
        <w:pStyle w:val="ListParagraph"/>
        <w:numPr>
          <w:ilvl w:val="0"/>
          <w:numId w:val="3"/>
        </w:numPr>
        <w:rPr>
          <w:rFonts w:eastAsia="Times New Roman"/>
          <w:sz w:val="24"/>
          <w:szCs w:val="24"/>
        </w:rPr>
      </w:pPr>
      <w:r>
        <w:rPr>
          <w:rFonts w:eastAsia="Times New Roman"/>
          <w:sz w:val="24"/>
          <w:szCs w:val="24"/>
        </w:rPr>
        <w:t>The net capacity of the school, as informed by the schools’ audit</w:t>
      </w:r>
    </w:p>
    <w:p w14:paraId="37B7A272" w14:textId="2B54400C" w:rsidR="0096763B" w:rsidRDefault="0096763B" w:rsidP="0096763B">
      <w:pPr>
        <w:pStyle w:val="ListParagraph"/>
        <w:numPr>
          <w:ilvl w:val="0"/>
          <w:numId w:val="3"/>
        </w:numPr>
        <w:rPr>
          <w:rFonts w:eastAsia="Times New Roman"/>
          <w:sz w:val="24"/>
          <w:szCs w:val="24"/>
        </w:rPr>
      </w:pPr>
      <w:r>
        <w:rPr>
          <w:rFonts w:eastAsia="Times New Roman"/>
          <w:sz w:val="24"/>
          <w:szCs w:val="24"/>
        </w:rPr>
        <w:t xml:space="preserve">Any other information on trends over time, including demographic, </w:t>
      </w:r>
      <w:r w:rsidR="00E507CD">
        <w:rPr>
          <w:rFonts w:eastAsia="Times New Roman"/>
          <w:sz w:val="24"/>
          <w:szCs w:val="24"/>
        </w:rPr>
        <w:t>policy,</w:t>
      </w:r>
      <w:r>
        <w:rPr>
          <w:rFonts w:eastAsia="Times New Roman"/>
          <w:sz w:val="24"/>
          <w:szCs w:val="24"/>
        </w:rPr>
        <w:t xml:space="preserve"> or legal changes.</w:t>
      </w:r>
    </w:p>
    <w:p w14:paraId="1ADFCE5A" w14:textId="77777777" w:rsidR="0096763B" w:rsidRDefault="0096763B" w:rsidP="0096763B">
      <w:pPr>
        <w:rPr>
          <w:b/>
          <w:bCs/>
          <w:sz w:val="24"/>
          <w:szCs w:val="24"/>
        </w:rPr>
      </w:pPr>
    </w:p>
    <w:p w14:paraId="16FC0B7E" w14:textId="77777777" w:rsidR="0096763B" w:rsidRDefault="0096763B" w:rsidP="0096763B">
      <w:pPr>
        <w:rPr>
          <w:b/>
          <w:bCs/>
          <w:sz w:val="24"/>
          <w:szCs w:val="24"/>
        </w:rPr>
      </w:pPr>
      <w:r>
        <w:rPr>
          <w:b/>
          <w:bCs/>
          <w:sz w:val="24"/>
          <w:szCs w:val="24"/>
        </w:rPr>
        <w:t>Stage 2</w:t>
      </w:r>
    </w:p>
    <w:p w14:paraId="5E51AE79" w14:textId="14E725BA" w:rsidR="0096763B" w:rsidRDefault="0096763B" w:rsidP="0096763B">
      <w:pPr>
        <w:rPr>
          <w:sz w:val="24"/>
          <w:szCs w:val="24"/>
        </w:rPr>
      </w:pPr>
      <w:r>
        <w:rPr>
          <w:sz w:val="24"/>
          <w:szCs w:val="24"/>
        </w:rPr>
        <w:t xml:space="preserve">The </w:t>
      </w:r>
      <w:r w:rsidR="002B2225">
        <w:rPr>
          <w:sz w:val="24"/>
          <w:szCs w:val="24"/>
        </w:rPr>
        <w:t>Designated O</w:t>
      </w:r>
      <w:r>
        <w:rPr>
          <w:sz w:val="24"/>
          <w:szCs w:val="24"/>
        </w:rPr>
        <w:t>fficers will determine from the above considerations a proposal for all settings of the number of places that the LA intends to commission for the following academic year.</w:t>
      </w:r>
    </w:p>
    <w:p w14:paraId="7E9F3FA7" w14:textId="77777777" w:rsidR="0096763B" w:rsidRDefault="0096763B" w:rsidP="0096763B">
      <w:pPr>
        <w:rPr>
          <w:sz w:val="24"/>
          <w:szCs w:val="24"/>
        </w:rPr>
      </w:pPr>
    </w:p>
    <w:p w14:paraId="3E59F8DB" w14:textId="77777777" w:rsidR="0096763B" w:rsidRDefault="0096763B" w:rsidP="0096763B">
      <w:pPr>
        <w:rPr>
          <w:b/>
          <w:bCs/>
          <w:sz w:val="24"/>
          <w:szCs w:val="24"/>
        </w:rPr>
      </w:pPr>
      <w:r>
        <w:rPr>
          <w:b/>
          <w:bCs/>
          <w:sz w:val="24"/>
          <w:szCs w:val="24"/>
        </w:rPr>
        <w:t>Stage 3</w:t>
      </w:r>
    </w:p>
    <w:p w14:paraId="1CACC7E5" w14:textId="77777777" w:rsidR="0096763B" w:rsidRDefault="0096763B" w:rsidP="0096763B">
      <w:pPr>
        <w:rPr>
          <w:sz w:val="24"/>
          <w:szCs w:val="24"/>
        </w:rPr>
      </w:pPr>
      <w:r>
        <w:rPr>
          <w:sz w:val="24"/>
          <w:szCs w:val="24"/>
        </w:rPr>
        <w:t xml:space="preserve">Each setting is individually consulted by the SEND Commissioning Manager as to the proposed number and invited to make comments on the proposal and any considerations that have led to the proposal or might affect it. </w:t>
      </w:r>
    </w:p>
    <w:p w14:paraId="2B7D69F8" w14:textId="68E9E407" w:rsidR="0096763B" w:rsidRDefault="0096763B" w:rsidP="0096763B">
      <w:pPr>
        <w:rPr>
          <w:sz w:val="24"/>
          <w:szCs w:val="24"/>
        </w:rPr>
      </w:pPr>
      <w:r>
        <w:rPr>
          <w:sz w:val="24"/>
          <w:szCs w:val="24"/>
        </w:rPr>
        <w:t xml:space="preserve">The consultation is carried out in the form of a standardised letter, individualised for each school, that contains details of the previously commissioned numbers, the current </w:t>
      </w:r>
      <w:r w:rsidR="00E507CD">
        <w:rPr>
          <w:sz w:val="24"/>
          <w:szCs w:val="24"/>
        </w:rPr>
        <w:t>occupancy,</w:t>
      </w:r>
      <w:r>
        <w:rPr>
          <w:sz w:val="24"/>
          <w:szCs w:val="24"/>
        </w:rPr>
        <w:t xml:space="preserve"> and the proposed number of commissioned places for the following September. </w:t>
      </w:r>
      <w:r>
        <w:rPr>
          <w:sz w:val="24"/>
          <w:szCs w:val="24"/>
        </w:rPr>
        <w:lastRenderedPageBreak/>
        <w:t>The letters are sent by email direct to the Headteacher of each school</w:t>
      </w:r>
      <w:r w:rsidR="002B2225">
        <w:rPr>
          <w:sz w:val="24"/>
          <w:szCs w:val="24"/>
        </w:rPr>
        <w:t xml:space="preserve"> and the setting will have an opportunity to respond to the proposal put forward.</w:t>
      </w:r>
    </w:p>
    <w:p w14:paraId="69D00BC1" w14:textId="77777777" w:rsidR="00E507CD" w:rsidRDefault="00E507CD" w:rsidP="0096763B">
      <w:pPr>
        <w:rPr>
          <w:sz w:val="24"/>
          <w:szCs w:val="24"/>
        </w:rPr>
      </w:pPr>
    </w:p>
    <w:p w14:paraId="05571767" w14:textId="77777777" w:rsidR="0096763B" w:rsidRDefault="0096763B" w:rsidP="0096763B">
      <w:pPr>
        <w:rPr>
          <w:b/>
          <w:bCs/>
          <w:sz w:val="24"/>
          <w:szCs w:val="24"/>
        </w:rPr>
      </w:pPr>
      <w:r>
        <w:rPr>
          <w:b/>
          <w:bCs/>
          <w:sz w:val="24"/>
          <w:szCs w:val="24"/>
        </w:rPr>
        <w:t>Stage 4</w:t>
      </w:r>
    </w:p>
    <w:p w14:paraId="792988C1" w14:textId="370EE9B2" w:rsidR="0096763B" w:rsidRDefault="0096763B" w:rsidP="0096763B">
      <w:pPr>
        <w:rPr>
          <w:sz w:val="24"/>
          <w:szCs w:val="24"/>
        </w:rPr>
      </w:pPr>
      <w:r>
        <w:rPr>
          <w:sz w:val="24"/>
          <w:szCs w:val="24"/>
        </w:rPr>
        <w:t xml:space="preserve">Early-mid November: The </w:t>
      </w:r>
      <w:r w:rsidR="002B2225">
        <w:rPr>
          <w:sz w:val="24"/>
          <w:szCs w:val="24"/>
        </w:rPr>
        <w:t>D</w:t>
      </w:r>
      <w:r>
        <w:rPr>
          <w:sz w:val="24"/>
          <w:szCs w:val="24"/>
        </w:rPr>
        <w:t xml:space="preserve">esignated </w:t>
      </w:r>
      <w:r w:rsidR="002B2225">
        <w:rPr>
          <w:sz w:val="24"/>
          <w:szCs w:val="24"/>
        </w:rPr>
        <w:t>O</w:t>
      </w:r>
      <w:r>
        <w:rPr>
          <w:sz w:val="24"/>
          <w:szCs w:val="24"/>
        </w:rPr>
        <w:t xml:space="preserve">fficers will meet to discuss </w:t>
      </w:r>
      <w:r w:rsidR="002B2225">
        <w:rPr>
          <w:sz w:val="24"/>
          <w:szCs w:val="24"/>
        </w:rPr>
        <w:t>the consultation response from the setting</w:t>
      </w:r>
      <w:r>
        <w:rPr>
          <w:sz w:val="24"/>
          <w:szCs w:val="24"/>
        </w:rPr>
        <w:t xml:space="preserve"> and finalise the proposed numbers in the light of them.</w:t>
      </w:r>
      <w:r w:rsidR="008A4E13">
        <w:rPr>
          <w:sz w:val="24"/>
          <w:szCs w:val="24"/>
        </w:rPr>
        <w:t xml:space="preserve"> If there is disagreement with the school over the commissioned numbers, then the schools reasons and concerns, together with their own proposals as to the number of commissioned places, will need to be submitted alongside the LA’s proposed commissioned figures for senior management consideration at Assistant Director and Director level.</w:t>
      </w:r>
    </w:p>
    <w:p w14:paraId="4970591C" w14:textId="77777777" w:rsidR="0096763B" w:rsidRDefault="0096763B" w:rsidP="0096763B">
      <w:pPr>
        <w:rPr>
          <w:b/>
          <w:bCs/>
          <w:sz w:val="24"/>
          <w:szCs w:val="24"/>
        </w:rPr>
      </w:pPr>
    </w:p>
    <w:p w14:paraId="761770E5" w14:textId="77777777" w:rsidR="0096763B" w:rsidRDefault="0096763B" w:rsidP="0096763B">
      <w:pPr>
        <w:rPr>
          <w:b/>
          <w:bCs/>
          <w:sz w:val="24"/>
          <w:szCs w:val="24"/>
        </w:rPr>
      </w:pPr>
      <w:r>
        <w:rPr>
          <w:b/>
          <w:bCs/>
          <w:sz w:val="24"/>
          <w:szCs w:val="24"/>
        </w:rPr>
        <w:t>Stage 5</w:t>
      </w:r>
    </w:p>
    <w:p w14:paraId="7C52E657" w14:textId="483BFB7C" w:rsidR="0096763B" w:rsidRDefault="0096763B" w:rsidP="0096763B">
      <w:pPr>
        <w:rPr>
          <w:sz w:val="24"/>
          <w:szCs w:val="24"/>
          <w:lang w:eastAsia="en-GB"/>
        </w:rPr>
      </w:pPr>
      <w:r>
        <w:rPr>
          <w:sz w:val="24"/>
          <w:szCs w:val="24"/>
        </w:rPr>
        <w:t xml:space="preserve">The proposals are submitted to the </w:t>
      </w:r>
      <w:r>
        <w:rPr>
          <w:sz w:val="24"/>
          <w:szCs w:val="24"/>
          <w:lang w:eastAsia="en-GB"/>
        </w:rPr>
        <w:t xml:space="preserve">Assistant Director, Learning </w:t>
      </w:r>
      <w:r w:rsidR="00E507CD">
        <w:rPr>
          <w:sz w:val="24"/>
          <w:szCs w:val="24"/>
          <w:lang w:eastAsia="en-GB"/>
        </w:rPr>
        <w:t>Access,</w:t>
      </w:r>
      <w:r>
        <w:rPr>
          <w:sz w:val="24"/>
          <w:szCs w:val="24"/>
          <w:lang w:eastAsia="en-GB"/>
        </w:rPr>
        <w:t xml:space="preserve"> and Inclusion (</w:t>
      </w:r>
      <w:r>
        <w:rPr>
          <w:i/>
          <w:iCs/>
          <w:sz w:val="24"/>
          <w:szCs w:val="24"/>
          <w:lang w:eastAsia="en-GB"/>
        </w:rPr>
        <w:t>NB this is a proposed change that does not presently occur)</w:t>
      </w:r>
      <w:r>
        <w:rPr>
          <w:sz w:val="24"/>
          <w:szCs w:val="24"/>
          <w:lang w:eastAsia="en-GB"/>
        </w:rPr>
        <w:t xml:space="preserve"> and Head of Service Finance (Schools), Finance for approval.</w:t>
      </w:r>
    </w:p>
    <w:p w14:paraId="135BA034" w14:textId="77777777" w:rsidR="0096763B" w:rsidRDefault="0096763B" w:rsidP="0096763B">
      <w:pPr>
        <w:rPr>
          <w:b/>
          <w:bCs/>
          <w:sz w:val="24"/>
          <w:szCs w:val="24"/>
          <w:lang w:eastAsia="en-GB"/>
        </w:rPr>
      </w:pPr>
    </w:p>
    <w:p w14:paraId="3D1DA376" w14:textId="77777777" w:rsidR="0096763B" w:rsidRDefault="0096763B" w:rsidP="0096763B">
      <w:pPr>
        <w:rPr>
          <w:b/>
          <w:bCs/>
          <w:sz w:val="24"/>
          <w:szCs w:val="24"/>
          <w:lang w:eastAsia="en-GB"/>
        </w:rPr>
      </w:pPr>
      <w:r>
        <w:rPr>
          <w:b/>
          <w:bCs/>
          <w:sz w:val="24"/>
          <w:szCs w:val="24"/>
          <w:lang w:eastAsia="en-GB"/>
        </w:rPr>
        <w:t>Stage 6</w:t>
      </w:r>
    </w:p>
    <w:p w14:paraId="3514C507" w14:textId="1D470CBA" w:rsidR="0096763B" w:rsidRDefault="0096763B" w:rsidP="0096763B">
      <w:pPr>
        <w:rPr>
          <w:sz w:val="24"/>
          <w:szCs w:val="24"/>
          <w:lang w:eastAsia="en-GB"/>
        </w:rPr>
      </w:pPr>
      <w:r>
        <w:rPr>
          <w:sz w:val="24"/>
          <w:szCs w:val="24"/>
          <w:lang w:eastAsia="en-GB"/>
        </w:rPr>
        <w:t xml:space="preserve">The </w:t>
      </w:r>
      <w:r w:rsidR="00600C16">
        <w:rPr>
          <w:sz w:val="24"/>
          <w:szCs w:val="24"/>
          <w:lang w:eastAsia="en-GB"/>
        </w:rPr>
        <w:t xml:space="preserve">approved </w:t>
      </w:r>
      <w:r>
        <w:rPr>
          <w:sz w:val="24"/>
          <w:szCs w:val="24"/>
          <w:lang w:eastAsia="en-GB"/>
        </w:rPr>
        <w:t>proposals are submitted by School Finance to the E</w:t>
      </w:r>
      <w:r w:rsidR="00724C8C">
        <w:rPr>
          <w:sz w:val="24"/>
          <w:szCs w:val="24"/>
          <w:lang w:eastAsia="en-GB"/>
        </w:rPr>
        <w:t xml:space="preserve">ducation </w:t>
      </w:r>
      <w:r>
        <w:rPr>
          <w:sz w:val="24"/>
          <w:szCs w:val="24"/>
          <w:lang w:eastAsia="en-GB"/>
        </w:rPr>
        <w:t>S</w:t>
      </w:r>
      <w:r w:rsidR="00724C8C">
        <w:rPr>
          <w:sz w:val="24"/>
          <w:szCs w:val="24"/>
          <w:lang w:eastAsia="en-GB"/>
        </w:rPr>
        <w:t xml:space="preserve">kills and </w:t>
      </w:r>
      <w:r>
        <w:rPr>
          <w:sz w:val="24"/>
          <w:szCs w:val="24"/>
          <w:lang w:eastAsia="en-GB"/>
        </w:rPr>
        <w:t>F</w:t>
      </w:r>
      <w:r w:rsidR="00724C8C">
        <w:rPr>
          <w:sz w:val="24"/>
          <w:szCs w:val="24"/>
          <w:lang w:eastAsia="en-GB"/>
        </w:rPr>
        <w:t xml:space="preserve">unding </w:t>
      </w:r>
      <w:r>
        <w:rPr>
          <w:sz w:val="24"/>
          <w:szCs w:val="24"/>
          <w:lang w:eastAsia="en-GB"/>
        </w:rPr>
        <w:t>A</w:t>
      </w:r>
      <w:r w:rsidR="00724C8C">
        <w:rPr>
          <w:sz w:val="24"/>
          <w:szCs w:val="24"/>
          <w:lang w:eastAsia="en-GB"/>
        </w:rPr>
        <w:t>gency (‘ESFA’)</w:t>
      </w:r>
      <w:r>
        <w:rPr>
          <w:sz w:val="24"/>
          <w:szCs w:val="24"/>
          <w:lang w:eastAsia="en-GB"/>
        </w:rPr>
        <w:t xml:space="preserve"> by their stipulated date in November for academies only. In January the ESFA will publish the outcomes of the proposals and their approval status. A two week</w:t>
      </w:r>
      <w:r w:rsidR="00600C16">
        <w:rPr>
          <w:sz w:val="24"/>
          <w:szCs w:val="24"/>
          <w:lang w:eastAsia="en-GB"/>
        </w:rPr>
        <w:t>s’</w:t>
      </w:r>
      <w:r>
        <w:rPr>
          <w:sz w:val="24"/>
          <w:szCs w:val="24"/>
          <w:lang w:eastAsia="en-GB"/>
        </w:rPr>
        <w:t xml:space="preserve"> window follows where </w:t>
      </w:r>
      <w:r w:rsidR="008A4E13">
        <w:rPr>
          <w:sz w:val="24"/>
          <w:szCs w:val="24"/>
          <w:lang w:eastAsia="en-GB"/>
        </w:rPr>
        <w:t>settings</w:t>
      </w:r>
      <w:r>
        <w:rPr>
          <w:sz w:val="24"/>
          <w:szCs w:val="24"/>
          <w:lang w:eastAsia="en-GB"/>
        </w:rPr>
        <w:t xml:space="preserve"> and LAs can raise any significant issues</w:t>
      </w:r>
      <w:r w:rsidR="00600C16">
        <w:rPr>
          <w:sz w:val="24"/>
          <w:szCs w:val="24"/>
          <w:lang w:eastAsia="en-GB"/>
        </w:rPr>
        <w:t xml:space="preserve"> in accordance with the process as set out in the DfE </w:t>
      </w:r>
      <w:r w:rsidR="00600C16" w:rsidRPr="006D25A8">
        <w:rPr>
          <w:i/>
          <w:iCs/>
          <w:sz w:val="24"/>
          <w:szCs w:val="24"/>
        </w:rPr>
        <w:t>High Needs Funding Operational Guidance</w:t>
      </w:r>
      <w:r w:rsidR="00600C16">
        <w:rPr>
          <w:rStyle w:val="CommentReference"/>
        </w:rPr>
        <w:t xml:space="preserve">. </w:t>
      </w:r>
      <w:r w:rsidR="00600C16">
        <w:rPr>
          <w:sz w:val="24"/>
          <w:szCs w:val="24"/>
          <w:lang w:eastAsia="en-GB"/>
        </w:rPr>
        <w:t>Th</w:t>
      </w:r>
      <w:r>
        <w:rPr>
          <w:sz w:val="24"/>
          <w:szCs w:val="24"/>
          <w:lang w:eastAsia="en-GB"/>
        </w:rPr>
        <w:t xml:space="preserve">e ESFA do not require the information for maintained schools as the LA has local flexibility to change their place numbers. However, the information is submitted via the Authority Proforma Tool </w:t>
      </w:r>
      <w:r w:rsidR="00046066">
        <w:rPr>
          <w:sz w:val="24"/>
          <w:szCs w:val="24"/>
          <w:lang w:eastAsia="en-GB"/>
        </w:rPr>
        <w:t>as required under section 251 of the Apprenticeships, Skills, Children and Learning 2009 where local authorities are required to prepare and submit to the Secretary of State for Education a</w:t>
      </w:r>
      <w:r>
        <w:rPr>
          <w:sz w:val="24"/>
          <w:szCs w:val="24"/>
          <w:lang w:eastAsia="en-GB"/>
        </w:rPr>
        <w:t xml:space="preserve"> section 251 budget return</w:t>
      </w:r>
      <w:r w:rsidR="00046066">
        <w:rPr>
          <w:sz w:val="24"/>
          <w:szCs w:val="24"/>
          <w:lang w:eastAsia="en-GB"/>
        </w:rPr>
        <w:t>, which is an education and children and young people’s services budget statement for a prescribe</w:t>
      </w:r>
      <w:r w:rsidR="008A4E13">
        <w:rPr>
          <w:sz w:val="24"/>
          <w:szCs w:val="24"/>
          <w:lang w:eastAsia="en-GB"/>
        </w:rPr>
        <w:t>d</w:t>
      </w:r>
      <w:r w:rsidR="00046066">
        <w:rPr>
          <w:sz w:val="24"/>
          <w:szCs w:val="24"/>
          <w:lang w:eastAsia="en-GB"/>
        </w:rPr>
        <w:t xml:space="preserve"> period.</w:t>
      </w:r>
    </w:p>
    <w:p w14:paraId="78D76B3E" w14:textId="7E044606" w:rsidR="0096763B" w:rsidRDefault="0096763B" w:rsidP="0096763B">
      <w:pPr>
        <w:rPr>
          <w:sz w:val="24"/>
          <w:szCs w:val="24"/>
          <w:lang w:eastAsia="en-GB"/>
        </w:rPr>
      </w:pPr>
    </w:p>
    <w:p w14:paraId="0B8DDF7A" w14:textId="77777777" w:rsidR="00046066" w:rsidRDefault="00046066" w:rsidP="0096763B">
      <w:pPr>
        <w:rPr>
          <w:sz w:val="24"/>
          <w:szCs w:val="24"/>
          <w:lang w:eastAsia="en-GB"/>
        </w:rPr>
      </w:pPr>
    </w:p>
    <w:p w14:paraId="7B3A1139" w14:textId="77777777" w:rsidR="0096763B" w:rsidRDefault="0096763B" w:rsidP="0096763B">
      <w:pPr>
        <w:rPr>
          <w:b/>
          <w:bCs/>
          <w:sz w:val="24"/>
          <w:szCs w:val="24"/>
          <w:lang w:eastAsia="en-GB"/>
        </w:rPr>
      </w:pPr>
      <w:r>
        <w:rPr>
          <w:b/>
          <w:bCs/>
          <w:sz w:val="24"/>
          <w:szCs w:val="24"/>
          <w:lang w:eastAsia="en-GB"/>
        </w:rPr>
        <w:t>Stage 7</w:t>
      </w:r>
    </w:p>
    <w:p w14:paraId="7DB3A087" w14:textId="77777777" w:rsidR="0096763B" w:rsidRDefault="0096763B" w:rsidP="0096763B">
      <w:pPr>
        <w:rPr>
          <w:sz w:val="24"/>
          <w:szCs w:val="24"/>
          <w:lang w:eastAsia="en-GB"/>
        </w:rPr>
      </w:pPr>
      <w:r>
        <w:rPr>
          <w:sz w:val="24"/>
          <w:szCs w:val="24"/>
          <w:lang w:eastAsia="en-GB"/>
        </w:rPr>
        <w:t xml:space="preserve">The submitted numbers are discussed and ratified by the Schools Forum and formally notified by School Finance to each setting to inform their delegated budgets for the coming </w:t>
      </w:r>
      <w:r>
        <w:rPr>
          <w:sz w:val="24"/>
          <w:szCs w:val="24"/>
          <w:u w:val="single"/>
          <w:lang w:eastAsia="en-GB"/>
        </w:rPr>
        <w:t>financial year</w:t>
      </w:r>
      <w:r>
        <w:rPr>
          <w:sz w:val="24"/>
          <w:szCs w:val="24"/>
          <w:lang w:eastAsia="en-GB"/>
        </w:rPr>
        <w:t xml:space="preserve">, which will include a 5/12 and 7/12 allocation to capture any variance in commissioned numbers across the </w:t>
      </w:r>
      <w:r>
        <w:rPr>
          <w:sz w:val="24"/>
          <w:szCs w:val="24"/>
          <w:u w:val="single"/>
          <w:lang w:eastAsia="en-GB"/>
        </w:rPr>
        <w:t>academic</w:t>
      </w:r>
      <w:r>
        <w:rPr>
          <w:sz w:val="24"/>
          <w:szCs w:val="24"/>
          <w:lang w:eastAsia="en-GB"/>
        </w:rPr>
        <w:t xml:space="preserve"> years.</w:t>
      </w:r>
    </w:p>
    <w:p w14:paraId="6F225FBD" w14:textId="70253CB4" w:rsidR="0096763B" w:rsidRDefault="0096763B" w:rsidP="0096763B">
      <w:pPr>
        <w:rPr>
          <w:sz w:val="24"/>
          <w:szCs w:val="24"/>
        </w:rPr>
      </w:pPr>
    </w:p>
    <w:p w14:paraId="5F96B5A2" w14:textId="214CEC64" w:rsidR="00782B07" w:rsidRPr="004A6D24" w:rsidRDefault="00782B07" w:rsidP="004A6D24">
      <w:pPr>
        <w:pStyle w:val="Heading1"/>
        <w:rPr>
          <w:rFonts w:ascii="Calibri" w:hAnsi="Calibri" w:cs="Calibri"/>
          <w:b/>
          <w:bCs/>
          <w:color w:val="auto"/>
          <w:sz w:val="24"/>
          <w:szCs w:val="24"/>
        </w:rPr>
      </w:pPr>
      <w:r w:rsidRPr="004A6D24">
        <w:rPr>
          <w:rFonts w:ascii="Calibri" w:hAnsi="Calibri" w:cs="Calibri"/>
          <w:b/>
          <w:bCs/>
          <w:color w:val="auto"/>
          <w:sz w:val="24"/>
          <w:szCs w:val="24"/>
        </w:rPr>
        <w:t>Pupils resident in other Local Authority areas</w:t>
      </w:r>
      <w:r w:rsidR="00495A03" w:rsidRPr="004A6D24">
        <w:rPr>
          <w:rFonts w:ascii="Calibri" w:hAnsi="Calibri" w:cs="Calibri"/>
          <w:b/>
          <w:bCs/>
          <w:color w:val="auto"/>
          <w:sz w:val="24"/>
          <w:szCs w:val="24"/>
        </w:rPr>
        <w:t xml:space="preserve"> and Derbyshire pupils attending special schools in other LA areas. </w:t>
      </w:r>
    </w:p>
    <w:p w14:paraId="40877361" w14:textId="276235B1" w:rsidR="00782B07" w:rsidRDefault="00782B07" w:rsidP="0096763B">
      <w:pPr>
        <w:rPr>
          <w:b/>
          <w:bCs/>
          <w:sz w:val="24"/>
          <w:szCs w:val="24"/>
        </w:rPr>
      </w:pPr>
    </w:p>
    <w:p w14:paraId="4DBDD272" w14:textId="71455F23" w:rsidR="00782B07" w:rsidRPr="00782B07" w:rsidRDefault="00782B07" w:rsidP="00782B07">
      <w:pPr>
        <w:autoSpaceDE w:val="0"/>
        <w:autoSpaceDN w:val="0"/>
        <w:adjustRightInd w:val="0"/>
        <w:rPr>
          <w:color w:val="000000"/>
          <w:sz w:val="24"/>
          <w:szCs w:val="24"/>
        </w:rPr>
      </w:pPr>
      <w:r w:rsidRPr="00782B07">
        <w:rPr>
          <w:color w:val="000000"/>
          <w:sz w:val="24"/>
          <w:szCs w:val="24"/>
        </w:rPr>
        <w:t xml:space="preserve">This </w:t>
      </w:r>
      <w:r w:rsidR="002B123A">
        <w:rPr>
          <w:color w:val="000000"/>
          <w:sz w:val="24"/>
          <w:szCs w:val="24"/>
        </w:rPr>
        <w:t xml:space="preserve">section </w:t>
      </w:r>
      <w:r w:rsidRPr="00782B07">
        <w:rPr>
          <w:color w:val="000000"/>
          <w:sz w:val="24"/>
          <w:szCs w:val="24"/>
        </w:rPr>
        <w:t xml:space="preserve">sets out Derbyshire </w:t>
      </w:r>
      <w:r w:rsidR="002B123A">
        <w:rPr>
          <w:color w:val="000000"/>
          <w:sz w:val="24"/>
          <w:szCs w:val="24"/>
        </w:rPr>
        <w:t>Local Authority’</w:t>
      </w:r>
      <w:r w:rsidRPr="00782B07">
        <w:rPr>
          <w:color w:val="000000"/>
          <w:sz w:val="24"/>
          <w:szCs w:val="24"/>
        </w:rPr>
        <w:t xml:space="preserve">s position on the responsibility for funding high needs places whether agreed in advance through </w:t>
      </w:r>
      <w:r w:rsidR="002B123A">
        <w:rPr>
          <w:color w:val="000000"/>
          <w:sz w:val="24"/>
          <w:szCs w:val="24"/>
        </w:rPr>
        <w:t xml:space="preserve">the Authority’s annual </w:t>
      </w:r>
      <w:r w:rsidRPr="00782B07">
        <w:rPr>
          <w:color w:val="000000"/>
          <w:sz w:val="24"/>
          <w:szCs w:val="24"/>
        </w:rPr>
        <w:t xml:space="preserve">place return or agreed as in addition to that number or otherwise. </w:t>
      </w:r>
    </w:p>
    <w:p w14:paraId="0567B86C" w14:textId="77777777" w:rsidR="00782B07" w:rsidRPr="00782B07" w:rsidRDefault="00782B07" w:rsidP="00782B07">
      <w:pPr>
        <w:autoSpaceDE w:val="0"/>
        <w:autoSpaceDN w:val="0"/>
        <w:adjustRightInd w:val="0"/>
        <w:rPr>
          <w:color w:val="000000"/>
          <w:sz w:val="24"/>
          <w:szCs w:val="24"/>
        </w:rPr>
      </w:pPr>
    </w:p>
    <w:p w14:paraId="063F2FAB" w14:textId="5BC2C599" w:rsidR="00782B07" w:rsidRPr="00782B07" w:rsidRDefault="00782B07" w:rsidP="00782B07">
      <w:pPr>
        <w:autoSpaceDE w:val="0"/>
        <w:autoSpaceDN w:val="0"/>
        <w:adjustRightInd w:val="0"/>
        <w:rPr>
          <w:color w:val="000000"/>
          <w:sz w:val="24"/>
          <w:szCs w:val="24"/>
        </w:rPr>
      </w:pPr>
      <w:r w:rsidRPr="00782B07">
        <w:rPr>
          <w:color w:val="000000"/>
          <w:sz w:val="24"/>
          <w:szCs w:val="24"/>
        </w:rPr>
        <w:t xml:space="preserve">The Council’s position matches the </w:t>
      </w:r>
      <w:hyperlink r:id="rId10" w:history="1">
        <w:r w:rsidRPr="00974ABA">
          <w:rPr>
            <w:rStyle w:val="Hyperlink"/>
            <w:sz w:val="24"/>
            <w:szCs w:val="24"/>
          </w:rPr>
          <w:t>ESFA guidance</w:t>
        </w:r>
      </w:hyperlink>
      <w:r w:rsidRPr="00782B07">
        <w:rPr>
          <w:color w:val="000000"/>
          <w:sz w:val="24"/>
          <w:szCs w:val="24"/>
        </w:rPr>
        <w:t xml:space="preserve"> which can be found</w:t>
      </w:r>
      <w:r w:rsidR="00974ABA">
        <w:rPr>
          <w:color w:val="000000"/>
          <w:sz w:val="24"/>
          <w:szCs w:val="24"/>
        </w:rPr>
        <w:t xml:space="preserve"> on the GOV.UK website.</w:t>
      </w:r>
      <w:r w:rsidRPr="00782B07">
        <w:rPr>
          <w:color w:val="000000"/>
          <w:sz w:val="24"/>
          <w:szCs w:val="24"/>
        </w:rPr>
        <w:t xml:space="preserve"> </w:t>
      </w:r>
    </w:p>
    <w:p w14:paraId="6DB1006A" w14:textId="77777777" w:rsidR="00782B07" w:rsidRPr="00782B07" w:rsidRDefault="00782B07" w:rsidP="00782B07">
      <w:pPr>
        <w:autoSpaceDE w:val="0"/>
        <w:autoSpaceDN w:val="0"/>
        <w:adjustRightInd w:val="0"/>
        <w:rPr>
          <w:color w:val="000000"/>
          <w:sz w:val="24"/>
          <w:szCs w:val="24"/>
        </w:rPr>
      </w:pPr>
    </w:p>
    <w:p w14:paraId="44078BE7" w14:textId="01ECF04A" w:rsidR="00782B07" w:rsidRPr="00782B07" w:rsidRDefault="00974ABA" w:rsidP="00782B07">
      <w:pPr>
        <w:autoSpaceDE w:val="0"/>
        <w:autoSpaceDN w:val="0"/>
        <w:adjustRightInd w:val="0"/>
        <w:rPr>
          <w:color w:val="000000"/>
          <w:sz w:val="24"/>
          <w:szCs w:val="24"/>
        </w:rPr>
      </w:pPr>
      <w:r>
        <w:rPr>
          <w:color w:val="000000"/>
          <w:sz w:val="24"/>
          <w:szCs w:val="24"/>
        </w:rPr>
        <w:lastRenderedPageBreak/>
        <w:t>I</w:t>
      </w:r>
      <w:r w:rsidR="00782B07" w:rsidRPr="00782B07">
        <w:rPr>
          <w:color w:val="000000"/>
          <w:sz w:val="24"/>
          <w:szCs w:val="24"/>
        </w:rPr>
        <w:t xml:space="preserve">n short, there remain two elements to the funding of high needs students: </w:t>
      </w:r>
    </w:p>
    <w:p w14:paraId="708F07EA" w14:textId="77777777" w:rsidR="00782B07" w:rsidRPr="00782B07" w:rsidRDefault="00782B07" w:rsidP="00782B07">
      <w:pPr>
        <w:autoSpaceDE w:val="0"/>
        <w:autoSpaceDN w:val="0"/>
        <w:adjustRightInd w:val="0"/>
        <w:spacing w:after="23"/>
        <w:rPr>
          <w:color w:val="000000"/>
          <w:sz w:val="24"/>
          <w:szCs w:val="24"/>
        </w:rPr>
      </w:pPr>
      <w:r w:rsidRPr="00782B07">
        <w:rPr>
          <w:color w:val="000000"/>
          <w:sz w:val="24"/>
          <w:szCs w:val="24"/>
        </w:rPr>
        <w:t xml:space="preserve">- the place element, and </w:t>
      </w:r>
    </w:p>
    <w:p w14:paraId="3A2F8489" w14:textId="77777777" w:rsidR="00782B07" w:rsidRPr="00782B07" w:rsidRDefault="00782B07" w:rsidP="00782B07">
      <w:pPr>
        <w:autoSpaceDE w:val="0"/>
        <w:autoSpaceDN w:val="0"/>
        <w:adjustRightInd w:val="0"/>
        <w:rPr>
          <w:color w:val="000000"/>
          <w:sz w:val="24"/>
          <w:szCs w:val="24"/>
        </w:rPr>
      </w:pPr>
      <w:r w:rsidRPr="00782B07">
        <w:rPr>
          <w:color w:val="000000"/>
          <w:sz w:val="24"/>
          <w:szCs w:val="24"/>
        </w:rPr>
        <w:t xml:space="preserve">- the pupil element. </w:t>
      </w:r>
    </w:p>
    <w:p w14:paraId="4BFC3E3B" w14:textId="77777777" w:rsidR="00782B07" w:rsidRPr="00782B07" w:rsidRDefault="00782B07" w:rsidP="00782B07">
      <w:pPr>
        <w:autoSpaceDE w:val="0"/>
        <w:autoSpaceDN w:val="0"/>
        <w:adjustRightInd w:val="0"/>
        <w:rPr>
          <w:color w:val="000000"/>
          <w:sz w:val="24"/>
          <w:szCs w:val="24"/>
        </w:rPr>
      </w:pPr>
    </w:p>
    <w:p w14:paraId="26EC3BB2" w14:textId="7C179824" w:rsidR="00782B07" w:rsidRPr="00782B07" w:rsidRDefault="00782B07" w:rsidP="00782B07">
      <w:pPr>
        <w:autoSpaceDE w:val="0"/>
        <w:autoSpaceDN w:val="0"/>
        <w:adjustRightInd w:val="0"/>
        <w:rPr>
          <w:color w:val="000000"/>
          <w:sz w:val="24"/>
          <w:szCs w:val="24"/>
        </w:rPr>
      </w:pPr>
      <w:r w:rsidRPr="00782B07">
        <w:rPr>
          <w:color w:val="000000"/>
          <w:sz w:val="24"/>
          <w:szCs w:val="24"/>
        </w:rPr>
        <w:t xml:space="preserve">This is an important distinction as they are funded in different ways. </w:t>
      </w:r>
    </w:p>
    <w:p w14:paraId="3034A5AC" w14:textId="77777777" w:rsidR="00782B07" w:rsidRPr="00782B07" w:rsidRDefault="00782B07" w:rsidP="00782B07">
      <w:pPr>
        <w:autoSpaceDE w:val="0"/>
        <w:autoSpaceDN w:val="0"/>
        <w:adjustRightInd w:val="0"/>
        <w:rPr>
          <w:color w:val="000000"/>
          <w:sz w:val="24"/>
          <w:szCs w:val="24"/>
        </w:rPr>
      </w:pPr>
    </w:p>
    <w:p w14:paraId="4F8F0862" w14:textId="52795CBD" w:rsidR="00782B07" w:rsidRPr="00782B07" w:rsidRDefault="00782B07" w:rsidP="00782B07">
      <w:pPr>
        <w:autoSpaceDE w:val="0"/>
        <w:autoSpaceDN w:val="0"/>
        <w:adjustRightInd w:val="0"/>
        <w:rPr>
          <w:color w:val="000000"/>
          <w:sz w:val="24"/>
          <w:szCs w:val="24"/>
        </w:rPr>
      </w:pPr>
      <w:r w:rsidRPr="00782B07">
        <w:rPr>
          <w:color w:val="000000"/>
          <w:sz w:val="24"/>
          <w:szCs w:val="24"/>
        </w:rPr>
        <w:t>According to ESFA guidance (page 20-24), the commissioning Authority</w:t>
      </w:r>
      <w:r w:rsidR="00495A03">
        <w:rPr>
          <w:color w:val="000000"/>
          <w:sz w:val="24"/>
          <w:szCs w:val="24"/>
        </w:rPr>
        <w:t xml:space="preserve"> (the Authority in which the pupil resides) </w:t>
      </w:r>
      <w:r w:rsidRPr="00782B07">
        <w:rPr>
          <w:color w:val="000000"/>
          <w:sz w:val="24"/>
          <w:szCs w:val="24"/>
        </w:rPr>
        <w:t xml:space="preserve">is not responsible for the payment of place funding for additional places at </w:t>
      </w:r>
      <w:r w:rsidR="00495A03">
        <w:rPr>
          <w:color w:val="000000"/>
          <w:sz w:val="24"/>
          <w:szCs w:val="24"/>
        </w:rPr>
        <w:t>a</w:t>
      </w:r>
      <w:r w:rsidRPr="00782B07">
        <w:rPr>
          <w:color w:val="000000"/>
          <w:sz w:val="24"/>
          <w:szCs w:val="24"/>
        </w:rPr>
        <w:t xml:space="preserve"> school</w:t>
      </w:r>
      <w:r w:rsidR="00495A03">
        <w:rPr>
          <w:color w:val="000000"/>
          <w:sz w:val="24"/>
          <w:szCs w:val="24"/>
        </w:rPr>
        <w:t xml:space="preserve"> in another provider Authority’s area (the area in which the school is located)</w:t>
      </w:r>
      <w:r w:rsidRPr="00782B07">
        <w:rPr>
          <w:color w:val="000000"/>
          <w:sz w:val="24"/>
          <w:szCs w:val="24"/>
        </w:rPr>
        <w:t xml:space="preserve">. All places are adjusted for via the “Import / Export Adjustment”. This is a document released by the ESFA in June each year that summarises all the pupils from each local authority attending a particular school. It results in a net adjustment to local authority funding for that academic year. This does not match financial years so there is a lag. </w:t>
      </w:r>
    </w:p>
    <w:p w14:paraId="58FB1BD5" w14:textId="77777777" w:rsidR="00782B07" w:rsidRPr="00782B07" w:rsidRDefault="00782B07" w:rsidP="00782B07">
      <w:pPr>
        <w:autoSpaceDE w:val="0"/>
        <w:autoSpaceDN w:val="0"/>
        <w:adjustRightInd w:val="0"/>
        <w:rPr>
          <w:color w:val="000000"/>
          <w:sz w:val="24"/>
          <w:szCs w:val="24"/>
        </w:rPr>
      </w:pPr>
    </w:p>
    <w:p w14:paraId="7DB29EE3" w14:textId="3089F30F" w:rsidR="00782B07" w:rsidRPr="00782B07" w:rsidRDefault="00782B07" w:rsidP="00782B07">
      <w:pPr>
        <w:rPr>
          <w:color w:val="000000"/>
          <w:sz w:val="24"/>
          <w:szCs w:val="24"/>
        </w:rPr>
      </w:pPr>
      <w:r w:rsidRPr="00782B07">
        <w:rPr>
          <w:color w:val="000000"/>
          <w:sz w:val="24"/>
          <w:szCs w:val="24"/>
        </w:rPr>
        <w:t xml:space="preserve">It uses Census Data and ILR records from January to establish which pupils are in respective settings and the local authority they are resident in. Funding for places is deducted from the commissioning authority and passed through to the provider </w:t>
      </w:r>
      <w:r w:rsidR="002B123A">
        <w:rPr>
          <w:color w:val="000000"/>
          <w:sz w:val="24"/>
          <w:szCs w:val="24"/>
        </w:rPr>
        <w:t>A</w:t>
      </w:r>
      <w:r w:rsidRPr="00782B07">
        <w:rPr>
          <w:color w:val="000000"/>
          <w:sz w:val="24"/>
          <w:szCs w:val="24"/>
        </w:rPr>
        <w:t>uthority.</w:t>
      </w:r>
    </w:p>
    <w:p w14:paraId="05F2CB68" w14:textId="4E72027D" w:rsidR="00782B07" w:rsidRPr="00782B07" w:rsidRDefault="00782B07" w:rsidP="00782B07">
      <w:pPr>
        <w:rPr>
          <w:color w:val="000000"/>
          <w:sz w:val="24"/>
          <w:szCs w:val="24"/>
        </w:rPr>
      </w:pPr>
    </w:p>
    <w:p w14:paraId="511C2540" w14:textId="050B75CF" w:rsidR="00782B07" w:rsidRDefault="00782B07" w:rsidP="00782B07">
      <w:pPr>
        <w:autoSpaceDE w:val="0"/>
        <w:autoSpaceDN w:val="0"/>
        <w:adjustRightInd w:val="0"/>
        <w:rPr>
          <w:color w:val="000000"/>
          <w:sz w:val="24"/>
          <w:szCs w:val="24"/>
        </w:rPr>
      </w:pPr>
      <w:r w:rsidRPr="00782B07">
        <w:rPr>
          <w:color w:val="000000"/>
          <w:sz w:val="24"/>
          <w:szCs w:val="24"/>
        </w:rPr>
        <w:t xml:space="preserve">Therefore, </w:t>
      </w:r>
      <w:r>
        <w:rPr>
          <w:color w:val="000000"/>
          <w:sz w:val="24"/>
          <w:szCs w:val="24"/>
        </w:rPr>
        <w:t xml:space="preserve">a school’s </w:t>
      </w:r>
      <w:r w:rsidRPr="00782B07">
        <w:rPr>
          <w:color w:val="000000"/>
          <w:sz w:val="24"/>
          <w:szCs w:val="24"/>
        </w:rPr>
        <w:t xml:space="preserve">own </w:t>
      </w:r>
      <w:r w:rsidR="002B123A">
        <w:rPr>
          <w:color w:val="000000"/>
          <w:sz w:val="24"/>
          <w:szCs w:val="24"/>
        </w:rPr>
        <w:t>L</w:t>
      </w:r>
      <w:r w:rsidRPr="00782B07">
        <w:rPr>
          <w:color w:val="000000"/>
          <w:sz w:val="24"/>
          <w:szCs w:val="24"/>
        </w:rPr>
        <w:t xml:space="preserve">ocal </w:t>
      </w:r>
      <w:r w:rsidR="002B123A">
        <w:rPr>
          <w:color w:val="000000"/>
          <w:sz w:val="24"/>
          <w:szCs w:val="24"/>
        </w:rPr>
        <w:t>A</w:t>
      </w:r>
      <w:r w:rsidRPr="00782B07">
        <w:rPr>
          <w:color w:val="000000"/>
          <w:sz w:val="24"/>
          <w:szCs w:val="24"/>
        </w:rPr>
        <w:t xml:space="preserve">uthority, as the provider </w:t>
      </w:r>
      <w:r w:rsidR="002B123A">
        <w:rPr>
          <w:color w:val="000000"/>
          <w:sz w:val="24"/>
          <w:szCs w:val="24"/>
        </w:rPr>
        <w:t>A</w:t>
      </w:r>
      <w:r w:rsidRPr="00782B07">
        <w:rPr>
          <w:color w:val="000000"/>
          <w:sz w:val="24"/>
          <w:szCs w:val="24"/>
        </w:rPr>
        <w:t xml:space="preserve">uthority, should discuss and agree with </w:t>
      </w:r>
      <w:r w:rsidR="00495A03">
        <w:rPr>
          <w:color w:val="000000"/>
          <w:sz w:val="24"/>
          <w:szCs w:val="24"/>
        </w:rPr>
        <w:t xml:space="preserve">a school </w:t>
      </w:r>
      <w:r w:rsidRPr="00782B07">
        <w:rPr>
          <w:color w:val="000000"/>
          <w:sz w:val="24"/>
          <w:szCs w:val="24"/>
        </w:rPr>
        <w:t>how much they will fund for the additional places</w:t>
      </w:r>
      <w:r>
        <w:rPr>
          <w:color w:val="000000"/>
          <w:sz w:val="24"/>
          <w:szCs w:val="24"/>
        </w:rPr>
        <w:t xml:space="preserve">, to avoid </w:t>
      </w:r>
      <w:r w:rsidR="00495A03">
        <w:rPr>
          <w:color w:val="000000"/>
          <w:sz w:val="24"/>
          <w:szCs w:val="24"/>
        </w:rPr>
        <w:t xml:space="preserve">making payment twice </w:t>
      </w:r>
      <w:r>
        <w:rPr>
          <w:color w:val="000000"/>
          <w:sz w:val="24"/>
          <w:szCs w:val="24"/>
        </w:rPr>
        <w:t xml:space="preserve">by the Local </w:t>
      </w:r>
      <w:r w:rsidR="00495A03">
        <w:rPr>
          <w:color w:val="000000"/>
          <w:sz w:val="24"/>
          <w:szCs w:val="24"/>
        </w:rPr>
        <w:t>A</w:t>
      </w:r>
      <w:r>
        <w:rPr>
          <w:color w:val="000000"/>
          <w:sz w:val="24"/>
          <w:szCs w:val="24"/>
        </w:rPr>
        <w:t>uthority in which the child or young person is resident</w:t>
      </w:r>
      <w:r w:rsidRPr="00782B07">
        <w:rPr>
          <w:color w:val="000000"/>
          <w:sz w:val="24"/>
          <w:szCs w:val="24"/>
        </w:rPr>
        <w:t>.</w:t>
      </w:r>
    </w:p>
    <w:p w14:paraId="03BA8781" w14:textId="2375FF8A" w:rsidR="00782B07" w:rsidRPr="00782B07" w:rsidRDefault="00782B07" w:rsidP="00782B07">
      <w:pPr>
        <w:autoSpaceDE w:val="0"/>
        <w:autoSpaceDN w:val="0"/>
        <w:adjustRightInd w:val="0"/>
        <w:rPr>
          <w:color w:val="000000"/>
          <w:sz w:val="24"/>
          <w:szCs w:val="24"/>
        </w:rPr>
      </w:pPr>
      <w:r w:rsidRPr="00782B07">
        <w:rPr>
          <w:color w:val="000000"/>
          <w:sz w:val="24"/>
          <w:szCs w:val="24"/>
        </w:rPr>
        <w:t xml:space="preserve"> </w:t>
      </w:r>
    </w:p>
    <w:p w14:paraId="25ED0C4C" w14:textId="145FDB2B" w:rsidR="00782B07" w:rsidRDefault="002B123A" w:rsidP="00782B07">
      <w:pPr>
        <w:autoSpaceDE w:val="0"/>
        <w:autoSpaceDN w:val="0"/>
        <w:adjustRightInd w:val="0"/>
        <w:rPr>
          <w:color w:val="000000"/>
          <w:sz w:val="24"/>
          <w:szCs w:val="24"/>
        </w:rPr>
      </w:pPr>
      <w:r>
        <w:rPr>
          <w:color w:val="000000"/>
          <w:sz w:val="24"/>
          <w:szCs w:val="24"/>
        </w:rPr>
        <w:t xml:space="preserve">The provider </w:t>
      </w:r>
      <w:r w:rsidR="00495A03">
        <w:rPr>
          <w:color w:val="000000"/>
          <w:sz w:val="24"/>
          <w:szCs w:val="24"/>
        </w:rPr>
        <w:t>L</w:t>
      </w:r>
      <w:r w:rsidR="00782B07" w:rsidRPr="00782B07">
        <w:rPr>
          <w:color w:val="000000"/>
          <w:sz w:val="24"/>
          <w:szCs w:val="24"/>
        </w:rPr>
        <w:t xml:space="preserve">ocal </w:t>
      </w:r>
      <w:r w:rsidR="00495A03">
        <w:rPr>
          <w:color w:val="000000"/>
          <w:sz w:val="24"/>
          <w:szCs w:val="24"/>
        </w:rPr>
        <w:t>A</w:t>
      </w:r>
      <w:r w:rsidR="00782B07" w:rsidRPr="00782B07">
        <w:rPr>
          <w:color w:val="000000"/>
          <w:sz w:val="24"/>
          <w:szCs w:val="24"/>
        </w:rPr>
        <w:t>uthority should not automatically be charged an additional £10,000 per pupil or student. The amount should reflect the actual costs of making additional special provision available, which may only be marginal, and an agreement between</w:t>
      </w:r>
      <w:r w:rsidR="00495A03">
        <w:rPr>
          <w:color w:val="000000"/>
          <w:sz w:val="24"/>
          <w:szCs w:val="24"/>
        </w:rPr>
        <w:t xml:space="preserve"> Derbyshire Local Authority </w:t>
      </w:r>
      <w:r w:rsidR="00782B07" w:rsidRPr="00782B07">
        <w:rPr>
          <w:color w:val="000000"/>
          <w:sz w:val="24"/>
          <w:szCs w:val="24"/>
        </w:rPr>
        <w:t xml:space="preserve">and the </w:t>
      </w:r>
      <w:r w:rsidR="00495A03">
        <w:rPr>
          <w:color w:val="000000"/>
          <w:sz w:val="24"/>
          <w:szCs w:val="24"/>
        </w:rPr>
        <w:t xml:space="preserve">setting </w:t>
      </w:r>
      <w:r w:rsidR="00782B07" w:rsidRPr="00782B07">
        <w:rPr>
          <w:color w:val="000000"/>
          <w:sz w:val="24"/>
          <w:szCs w:val="24"/>
        </w:rPr>
        <w:t xml:space="preserve">on how those costs are to be met. </w:t>
      </w:r>
    </w:p>
    <w:p w14:paraId="4F056C17" w14:textId="77777777" w:rsidR="00495A03" w:rsidRPr="00782B07" w:rsidRDefault="00495A03" w:rsidP="00782B07">
      <w:pPr>
        <w:autoSpaceDE w:val="0"/>
        <w:autoSpaceDN w:val="0"/>
        <w:adjustRightInd w:val="0"/>
        <w:rPr>
          <w:color w:val="000000"/>
          <w:sz w:val="24"/>
          <w:szCs w:val="24"/>
        </w:rPr>
      </w:pPr>
    </w:p>
    <w:p w14:paraId="11FD8E70" w14:textId="6066463B" w:rsidR="00782B07" w:rsidRPr="00782B07" w:rsidRDefault="002B123A" w:rsidP="00782B07">
      <w:pPr>
        <w:autoSpaceDE w:val="0"/>
        <w:autoSpaceDN w:val="0"/>
        <w:adjustRightInd w:val="0"/>
        <w:rPr>
          <w:color w:val="000000"/>
          <w:sz w:val="24"/>
          <w:szCs w:val="24"/>
        </w:rPr>
      </w:pPr>
      <w:r>
        <w:rPr>
          <w:color w:val="000000"/>
          <w:sz w:val="24"/>
          <w:szCs w:val="24"/>
        </w:rPr>
        <w:t xml:space="preserve">The commissioning </w:t>
      </w:r>
      <w:r w:rsidR="00495A03">
        <w:rPr>
          <w:color w:val="000000"/>
          <w:sz w:val="24"/>
          <w:szCs w:val="24"/>
        </w:rPr>
        <w:t xml:space="preserve">Local Authority </w:t>
      </w:r>
      <w:r>
        <w:rPr>
          <w:color w:val="000000"/>
          <w:sz w:val="24"/>
          <w:szCs w:val="24"/>
        </w:rPr>
        <w:t xml:space="preserve">should </w:t>
      </w:r>
      <w:r w:rsidR="00782B07" w:rsidRPr="00782B07">
        <w:rPr>
          <w:color w:val="000000"/>
          <w:sz w:val="24"/>
          <w:szCs w:val="24"/>
        </w:rPr>
        <w:t xml:space="preserve">therefore reject any funding requests which include funding for additional places </w:t>
      </w:r>
      <w:r>
        <w:rPr>
          <w:color w:val="000000"/>
          <w:sz w:val="24"/>
          <w:szCs w:val="24"/>
        </w:rPr>
        <w:t xml:space="preserve">from a school </w:t>
      </w:r>
      <w:r w:rsidR="00782B07" w:rsidRPr="00782B07">
        <w:rPr>
          <w:color w:val="000000"/>
          <w:sz w:val="24"/>
          <w:szCs w:val="24"/>
        </w:rPr>
        <w:t xml:space="preserve">and ask that </w:t>
      </w:r>
      <w:r>
        <w:rPr>
          <w:color w:val="000000"/>
          <w:sz w:val="24"/>
          <w:szCs w:val="24"/>
        </w:rPr>
        <w:t xml:space="preserve">they </w:t>
      </w:r>
      <w:r w:rsidR="00782B07" w:rsidRPr="00782B07">
        <w:rPr>
          <w:color w:val="000000"/>
          <w:sz w:val="24"/>
          <w:szCs w:val="24"/>
        </w:rPr>
        <w:t xml:space="preserve">contact </w:t>
      </w:r>
      <w:r>
        <w:rPr>
          <w:color w:val="000000"/>
          <w:sz w:val="24"/>
          <w:szCs w:val="24"/>
        </w:rPr>
        <w:t xml:space="preserve">its own </w:t>
      </w:r>
      <w:r w:rsidR="00782B07" w:rsidRPr="00782B07">
        <w:rPr>
          <w:color w:val="000000"/>
          <w:sz w:val="24"/>
          <w:szCs w:val="24"/>
        </w:rPr>
        <w:t xml:space="preserve">local </w:t>
      </w:r>
      <w:r>
        <w:rPr>
          <w:color w:val="000000"/>
          <w:sz w:val="24"/>
          <w:szCs w:val="24"/>
        </w:rPr>
        <w:t>provider A</w:t>
      </w:r>
      <w:r w:rsidR="00782B07" w:rsidRPr="00782B07">
        <w:rPr>
          <w:color w:val="000000"/>
          <w:sz w:val="24"/>
          <w:szCs w:val="24"/>
        </w:rPr>
        <w:t>uthority to arrange payment</w:t>
      </w:r>
      <w:r>
        <w:rPr>
          <w:color w:val="000000"/>
          <w:sz w:val="24"/>
          <w:szCs w:val="24"/>
        </w:rPr>
        <w:t xml:space="preserve"> for all commissioned places</w:t>
      </w:r>
      <w:r w:rsidR="00782B07" w:rsidRPr="00782B07">
        <w:rPr>
          <w:color w:val="000000"/>
          <w:sz w:val="24"/>
          <w:szCs w:val="24"/>
        </w:rPr>
        <w:t xml:space="preserve">. </w:t>
      </w:r>
    </w:p>
    <w:p w14:paraId="14BFC9E0" w14:textId="77777777" w:rsidR="0096763B" w:rsidRDefault="0096763B" w:rsidP="0096763B">
      <w:pPr>
        <w:rPr>
          <w:sz w:val="24"/>
          <w:szCs w:val="24"/>
        </w:rPr>
      </w:pPr>
    </w:p>
    <w:p w14:paraId="1CB065BA" w14:textId="77777777" w:rsidR="0096763B" w:rsidRPr="004A6D24" w:rsidRDefault="0096763B" w:rsidP="004A6D24">
      <w:pPr>
        <w:pStyle w:val="Heading1"/>
        <w:rPr>
          <w:rFonts w:asciiTheme="minorHAnsi" w:hAnsiTheme="minorHAnsi" w:cstheme="minorHAnsi"/>
          <w:b/>
          <w:bCs/>
          <w:color w:val="auto"/>
          <w:sz w:val="24"/>
          <w:szCs w:val="24"/>
        </w:rPr>
      </w:pPr>
      <w:r w:rsidRPr="004A6D24">
        <w:rPr>
          <w:rFonts w:asciiTheme="minorHAnsi" w:hAnsiTheme="minorHAnsi" w:cstheme="minorHAnsi"/>
          <w:b/>
          <w:bCs/>
          <w:color w:val="auto"/>
          <w:sz w:val="24"/>
          <w:szCs w:val="24"/>
        </w:rPr>
        <w:t>Maintained schools or academies acting in isolation</w:t>
      </w:r>
    </w:p>
    <w:p w14:paraId="363B51C2" w14:textId="77777777" w:rsidR="0096763B" w:rsidRDefault="0096763B" w:rsidP="0096763B">
      <w:pPr>
        <w:rPr>
          <w:sz w:val="24"/>
          <w:szCs w:val="24"/>
        </w:rPr>
      </w:pPr>
    </w:p>
    <w:p w14:paraId="1CBC5A5E" w14:textId="49BFEB86" w:rsidR="0096763B" w:rsidRDefault="0096763B" w:rsidP="0096763B">
      <w:pPr>
        <w:rPr>
          <w:sz w:val="24"/>
          <w:szCs w:val="24"/>
        </w:rPr>
      </w:pPr>
      <w:r>
        <w:rPr>
          <w:sz w:val="24"/>
          <w:szCs w:val="24"/>
        </w:rPr>
        <w:t xml:space="preserve">Should a specialist academy or a mainstream academy with an enhanced resource unit decide to operate in isolation, or operate in such a way which requires a significant change, then the academy should follow the process as set out in the DfE’s </w:t>
      </w:r>
      <w:r w:rsidR="00EA2EFF">
        <w:rPr>
          <w:sz w:val="24"/>
          <w:szCs w:val="24"/>
        </w:rPr>
        <w:t>guidance; ‘</w:t>
      </w:r>
      <w:r w:rsidR="00EA2EFF">
        <w:rPr>
          <w:i/>
          <w:iCs/>
          <w:sz w:val="24"/>
          <w:szCs w:val="24"/>
        </w:rPr>
        <w:t xml:space="preserve">Maintaining significant to an open academy and closure by mutual agreement: Departmental guidance for all academy trusts </w:t>
      </w:r>
      <w:r w:rsidR="00EA2EFF">
        <w:rPr>
          <w:sz w:val="24"/>
          <w:szCs w:val="24"/>
        </w:rPr>
        <w:t xml:space="preserve">(November 2019) </w:t>
      </w:r>
      <w:r>
        <w:rPr>
          <w:sz w:val="24"/>
          <w:szCs w:val="24"/>
        </w:rPr>
        <w:t xml:space="preserve">and also liaise with the Regional Schools Commissioner’s office to confirm the full process and whether any other aspects have been updated, amended or whether new guidance exists. The DfE is the deciding body as to whether the business case is sufficiently strong to commission additional places or close provision. The DfE is highly likely to consult with Derbyshire </w:t>
      </w:r>
      <w:r w:rsidR="00EA2EFF">
        <w:rPr>
          <w:sz w:val="24"/>
          <w:szCs w:val="24"/>
        </w:rPr>
        <w:t xml:space="preserve">County </w:t>
      </w:r>
      <w:r>
        <w:rPr>
          <w:sz w:val="24"/>
          <w:szCs w:val="24"/>
        </w:rPr>
        <w:t>Council before making their decision.</w:t>
      </w:r>
    </w:p>
    <w:p w14:paraId="2C67A747" w14:textId="1F8908DD" w:rsidR="00600C16" w:rsidRDefault="00600C16" w:rsidP="0096763B">
      <w:pPr>
        <w:rPr>
          <w:sz w:val="24"/>
          <w:szCs w:val="24"/>
        </w:rPr>
      </w:pPr>
    </w:p>
    <w:p w14:paraId="5052D619" w14:textId="77777777" w:rsidR="00EA2EFF" w:rsidRPr="008A4E13" w:rsidRDefault="00EA2EFF" w:rsidP="0096763B">
      <w:pPr>
        <w:rPr>
          <w:i/>
          <w:iCs/>
          <w:sz w:val="24"/>
          <w:szCs w:val="24"/>
        </w:rPr>
      </w:pPr>
    </w:p>
    <w:p w14:paraId="5174AAD1" w14:textId="65157678" w:rsidR="00EA2EFF" w:rsidRDefault="0096763B" w:rsidP="0096763B">
      <w:pPr>
        <w:rPr>
          <w:sz w:val="24"/>
          <w:szCs w:val="24"/>
        </w:rPr>
      </w:pPr>
      <w:r>
        <w:rPr>
          <w:sz w:val="24"/>
          <w:szCs w:val="24"/>
        </w:rPr>
        <w:lastRenderedPageBreak/>
        <w:t xml:space="preserve">Should a maintained or foundation specialist school or a maintained mainstream school with an enhanced resource facility decide to operate in isolation or operate in such </w:t>
      </w:r>
      <w:r w:rsidR="00E507CD">
        <w:rPr>
          <w:sz w:val="24"/>
          <w:szCs w:val="24"/>
        </w:rPr>
        <w:t>a</w:t>
      </w:r>
      <w:r>
        <w:rPr>
          <w:sz w:val="24"/>
          <w:szCs w:val="24"/>
        </w:rPr>
        <w:t xml:space="preserve"> way </w:t>
      </w:r>
      <w:r w:rsidR="00EA2EFF">
        <w:rPr>
          <w:sz w:val="24"/>
          <w:szCs w:val="24"/>
        </w:rPr>
        <w:t xml:space="preserve">that </w:t>
      </w:r>
      <w:r>
        <w:rPr>
          <w:sz w:val="24"/>
          <w:szCs w:val="24"/>
        </w:rPr>
        <w:t xml:space="preserve">requires a </w:t>
      </w:r>
      <w:r w:rsidR="00EA2EFF">
        <w:rPr>
          <w:sz w:val="24"/>
          <w:szCs w:val="24"/>
        </w:rPr>
        <w:t>‘</w:t>
      </w:r>
      <w:r>
        <w:rPr>
          <w:sz w:val="24"/>
          <w:szCs w:val="24"/>
        </w:rPr>
        <w:t>prescribed change</w:t>
      </w:r>
      <w:r w:rsidR="00EA2EFF">
        <w:rPr>
          <w:sz w:val="24"/>
          <w:szCs w:val="24"/>
        </w:rPr>
        <w:t>’</w:t>
      </w:r>
      <w:r w:rsidR="00EA2EFF" w:rsidRPr="00EA2EFF">
        <w:rPr>
          <w:i/>
          <w:iCs/>
          <w:sz w:val="23"/>
          <w:szCs w:val="23"/>
        </w:rPr>
        <w:t xml:space="preserve"> </w:t>
      </w:r>
      <w:r w:rsidR="00EA2EFF">
        <w:rPr>
          <w:sz w:val="23"/>
          <w:szCs w:val="23"/>
        </w:rPr>
        <w:t>under t</w:t>
      </w:r>
      <w:r w:rsidR="00EA2EFF" w:rsidRPr="008A4E13">
        <w:rPr>
          <w:sz w:val="23"/>
          <w:szCs w:val="23"/>
        </w:rPr>
        <w:t>he School Organisation (Prescribed Alterations to Maintained Schools) (England) Regulations 2013</w:t>
      </w:r>
      <w:r>
        <w:rPr>
          <w:sz w:val="24"/>
          <w:szCs w:val="24"/>
        </w:rPr>
        <w:t>,</w:t>
      </w:r>
      <w:r w:rsidR="00EA2EFF">
        <w:rPr>
          <w:sz w:val="24"/>
          <w:szCs w:val="24"/>
        </w:rPr>
        <w:t xml:space="preserve"> and the procedures and processes of which are as set out in the DfE guidance ‘</w:t>
      </w:r>
      <w:r w:rsidR="00EA2EFF" w:rsidRPr="008A4E13">
        <w:rPr>
          <w:i/>
          <w:iCs/>
          <w:sz w:val="24"/>
          <w:szCs w:val="24"/>
        </w:rPr>
        <w:t xml:space="preserve">Maintaining significant changes (prescribed alterations) to maintained school: statutory guidance for proposers and decision makers’ </w:t>
      </w:r>
      <w:r w:rsidR="00EA2EFF">
        <w:rPr>
          <w:sz w:val="24"/>
          <w:szCs w:val="24"/>
        </w:rPr>
        <w:t>(October 2018).</w:t>
      </w:r>
    </w:p>
    <w:p w14:paraId="760F313A" w14:textId="3FE074D5" w:rsidR="00EA2EFF" w:rsidRDefault="00EA2EFF" w:rsidP="0096763B">
      <w:pPr>
        <w:rPr>
          <w:sz w:val="24"/>
          <w:szCs w:val="24"/>
        </w:rPr>
      </w:pPr>
    </w:p>
    <w:p w14:paraId="25766ED8" w14:textId="0907FC02" w:rsidR="00D40657" w:rsidRPr="008A4E13" w:rsidRDefault="00EA2EFF" w:rsidP="00782B07">
      <w:pPr>
        <w:pStyle w:val="CommentText"/>
        <w:rPr>
          <w:sz w:val="24"/>
          <w:szCs w:val="24"/>
        </w:rPr>
      </w:pPr>
      <w:r>
        <w:rPr>
          <w:sz w:val="24"/>
          <w:szCs w:val="24"/>
        </w:rPr>
        <w:t>A setting</w:t>
      </w:r>
      <w:r w:rsidR="00D40657">
        <w:rPr>
          <w:sz w:val="24"/>
          <w:szCs w:val="24"/>
        </w:rPr>
        <w:t xml:space="preserve"> considering increasing their placements are strongly encouraged to approach the Council as early as possible in the academic year to discuss their needs. Paragraph 57 of the </w:t>
      </w:r>
      <w:hyperlink r:id="rId11" w:history="1">
        <w:r w:rsidR="00D40657" w:rsidRPr="004A6D24">
          <w:rPr>
            <w:rStyle w:val="Hyperlink"/>
            <w:sz w:val="24"/>
            <w:szCs w:val="24"/>
          </w:rPr>
          <w:t xml:space="preserve">DfE’s </w:t>
        </w:r>
        <w:r w:rsidR="00D40657" w:rsidRPr="004A6D24">
          <w:rPr>
            <w:rStyle w:val="Hyperlink"/>
            <w:i/>
            <w:iCs/>
            <w:sz w:val="24"/>
            <w:szCs w:val="24"/>
          </w:rPr>
          <w:t xml:space="preserve">High Needs Funding Operational Guidance </w:t>
        </w:r>
      </w:hyperlink>
      <w:r w:rsidR="00E507CD">
        <w:rPr>
          <w:sz w:val="24"/>
          <w:szCs w:val="24"/>
        </w:rPr>
        <w:t xml:space="preserve"> </w:t>
      </w:r>
      <w:r w:rsidR="00D40657">
        <w:rPr>
          <w:sz w:val="24"/>
          <w:szCs w:val="24"/>
        </w:rPr>
        <w:t>advises; ‘</w:t>
      </w:r>
      <w:r w:rsidR="00D40657" w:rsidRPr="004A6D24">
        <w:rPr>
          <w:i/>
          <w:iCs/>
          <w:sz w:val="24"/>
          <w:szCs w:val="24"/>
        </w:rPr>
        <w:t>An institution should approach the provider local authority if the number of pupils or students, agreed as having high needs by the relevant local authority, exceeds the number of funded places to an extent that results in the institution incurring additional costs of special provision not met through the top-up funding amount normally paid. We expect the provider local authority to engage with the institution and agree how the costs of the additional special provision required are to be met, and these conversations should take place as early as possible in the academic year.’</w:t>
      </w:r>
    </w:p>
    <w:p w14:paraId="3884FABA" w14:textId="4B871907" w:rsidR="00D40657" w:rsidRPr="008A4E13" w:rsidRDefault="00D40657" w:rsidP="0096763B">
      <w:pPr>
        <w:rPr>
          <w:rFonts w:asciiTheme="minorHAnsi" w:hAnsiTheme="minorHAnsi" w:cstheme="minorHAnsi"/>
          <w:sz w:val="24"/>
          <w:szCs w:val="24"/>
        </w:rPr>
      </w:pPr>
    </w:p>
    <w:p w14:paraId="4369E99B" w14:textId="07987CC0" w:rsidR="006D049C" w:rsidRPr="008A4E13" w:rsidRDefault="00D40657" w:rsidP="00782B07">
      <w:pPr>
        <w:pStyle w:val="legclearfix2"/>
        <w:spacing w:after="0" w:line="240" w:lineRule="auto"/>
        <w:rPr>
          <w:rFonts w:asciiTheme="minorHAnsi" w:hAnsiTheme="minorHAnsi" w:cstheme="minorHAnsi"/>
          <w:sz w:val="24"/>
          <w:szCs w:val="24"/>
        </w:rPr>
      </w:pPr>
      <w:r w:rsidRPr="008A4E13">
        <w:rPr>
          <w:rFonts w:asciiTheme="minorHAnsi" w:hAnsiTheme="minorHAnsi" w:cstheme="minorHAnsi"/>
          <w:sz w:val="24"/>
          <w:szCs w:val="24"/>
        </w:rPr>
        <w:t>If a setting</w:t>
      </w:r>
      <w:r w:rsidR="00570BE2" w:rsidRPr="008A4E13">
        <w:rPr>
          <w:rFonts w:asciiTheme="minorHAnsi" w:hAnsiTheme="minorHAnsi" w:cstheme="minorHAnsi"/>
          <w:sz w:val="24"/>
          <w:szCs w:val="24"/>
        </w:rPr>
        <w:t xml:space="preserve"> increases its </w:t>
      </w:r>
      <w:r w:rsidR="00A13069">
        <w:rPr>
          <w:rFonts w:asciiTheme="minorHAnsi" w:hAnsiTheme="minorHAnsi" w:cstheme="minorHAnsi"/>
          <w:sz w:val="24"/>
          <w:szCs w:val="24"/>
        </w:rPr>
        <w:t>numbers of commissioned placement</w:t>
      </w:r>
      <w:r w:rsidR="00570BE2" w:rsidRPr="008A4E13">
        <w:rPr>
          <w:rFonts w:asciiTheme="minorHAnsi" w:hAnsiTheme="minorHAnsi" w:cstheme="minorHAnsi"/>
          <w:sz w:val="24"/>
          <w:szCs w:val="24"/>
        </w:rPr>
        <w:t xml:space="preserve"> outside of the above procedures and processes, then this will may </w:t>
      </w:r>
      <w:r w:rsidR="006D049C">
        <w:rPr>
          <w:rFonts w:asciiTheme="minorHAnsi" w:hAnsiTheme="minorHAnsi" w:cstheme="minorHAnsi"/>
          <w:sz w:val="24"/>
          <w:szCs w:val="24"/>
        </w:rPr>
        <w:t>result in significant and</w:t>
      </w:r>
      <w:r w:rsidR="00570BE2" w:rsidRPr="008A4E13">
        <w:rPr>
          <w:rFonts w:asciiTheme="minorHAnsi" w:hAnsiTheme="minorHAnsi" w:cstheme="minorHAnsi"/>
          <w:sz w:val="24"/>
          <w:szCs w:val="24"/>
        </w:rPr>
        <w:t xml:space="preserve"> health and safety implications. </w:t>
      </w:r>
      <w:r w:rsidR="006D049C">
        <w:rPr>
          <w:rFonts w:asciiTheme="minorHAnsi" w:hAnsiTheme="minorHAnsi" w:cstheme="minorHAnsi"/>
          <w:sz w:val="24"/>
          <w:szCs w:val="24"/>
        </w:rPr>
        <w:t xml:space="preserve">In the interests of the health and safety of </w:t>
      </w:r>
      <w:r w:rsidR="0096763B" w:rsidRPr="008A4E13">
        <w:rPr>
          <w:rFonts w:asciiTheme="minorHAnsi" w:hAnsiTheme="minorHAnsi" w:cstheme="minorHAnsi"/>
          <w:sz w:val="24"/>
          <w:szCs w:val="24"/>
        </w:rPr>
        <w:t>Derbyshire County Council</w:t>
      </w:r>
      <w:r w:rsidR="00570BE2" w:rsidRPr="008A4E13">
        <w:rPr>
          <w:rFonts w:asciiTheme="minorHAnsi" w:hAnsiTheme="minorHAnsi" w:cstheme="minorHAnsi"/>
          <w:sz w:val="24"/>
          <w:szCs w:val="24"/>
        </w:rPr>
        <w:t xml:space="preserve"> can direct the governing body and the head teacher of a community, </w:t>
      </w:r>
      <w:r w:rsidR="006D049C">
        <w:rPr>
          <w:rFonts w:asciiTheme="minorHAnsi" w:hAnsiTheme="minorHAnsi" w:cstheme="minorHAnsi"/>
          <w:sz w:val="24"/>
          <w:szCs w:val="24"/>
        </w:rPr>
        <w:t xml:space="preserve">or </w:t>
      </w:r>
      <w:r w:rsidR="00570BE2" w:rsidRPr="008A4E13">
        <w:rPr>
          <w:rFonts w:asciiTheme="minorHAnsi" w:hAnsiTheme="minorHAnsi" w:cstheme="minorHAnsi"/>
          <w:sz w:val="24"/>
          <w:szCs w:val="24"/>
        </w:rPr>
        <w:t xml:space="preserve">voluntary controlled, </w:t>
      </w:r>
      <w:r w:rsidR="006D049C">
        <w:rPr>
          <w:rFonts w:asciiTheme="minorHAnsi" w:hAnsiTheme="minorHAnsi" w:cstheme="minorHAnsi"/>
          <w:sz w:val="24"/>
          <w:szCs w:val="24"/>
        </w:rPr>
        <w:t xml:space="preserve">or </w:t>
      </w:r>
      <w:r w:rsidR="006D049C" w:rsidRPr="008A4E13">
        <w:rPr>
          <w:rFonts w:asciiTheme="minorHAnsi" w:hAnsiTheme="minorHAnsi" w:cstheme="minorHAnsi"/>
          <w:sz w:val="24"/>
          <w:szCs w:val="24"/>
        </w:rPr>
        <w:t>community special school to comply with any directions concerning the health and safety of persons on the school’s premises or taking part in any school activities elsewhere.</w:t>
      </w:r>
      <w:r w:rsidR="00570BE2" w:rsidRPr="008A4E13">
        <w:rPr>
          <w:rFonts w:asciiTheme="minorHAnsi" w:hAnsiTheme="minorHAnsi" w:cstheme="minorHAnsi"/>
          <w:sz w:val="24"/>
          <w:szCs w:val="24"/>
        </w:rPr>
        <w:t xml:space="preserve"> </w:t>
      </w:r>
      <w:r w:rsidR="006D049C" w:rsidRPr="008A4E13">
        <w:rPr>
          <w:rStyle w:val="legds2"/>
          <w:rFonts w:asciiTheme="minorHAnsi" w:hAnsiTheme="minorHAnsi" w:cstheme="minorHAnsi"/>
          <w:sz w:val="24"/>
          <w:szCs w:val="24"/>
          <w:specVanish w:val="0"/>
        </w:rPr>
        <w:t xml:space="preserve">Furthermore, under Schedule 13 of the School Standards and Framework Act 1998 </w:t>
      </w:r>
      <w:r w:rsidR="006D049C">
        <w:rPr>
          <w:rStyle w:val="legds2"/>
          <w:rFonts w:asciiTheme="minorHAnsi" w:hAnsiTheme="minorHAnsi" w:cstheme="minorHAnsi"/>
          <w:sz w:val="24"/>
          <w:szCs w:val="24"/>
          <w:specVanish w:val="0"/>
        </w:rPr>
        <w:t xml:space="preserve">the </w:t>
      </w:r>
      <w:r w:rsidR="006D049C">
        <w:rPr>
          <w:rStyle w:val="legrepeal5"/>
          <w:rFonts w:asciiTheme="minorHAnsi" w:hAnsiTheme="minorHAnsi" w:cstheme="minorHAnsi"/>
          <w:sz w:val="24"/>
          <w:szCs w:val="24"/>
        </w:rPr>
        <w:t>Council</w:t>
      </w:r>
      <w:r w:rsidR="006D049C" w:rsidRPr="008A4E13">
        <w:rPr>
          <w:rStyle w:val="legrepeal5"/>
          <w:rFonts w:asciiTheme="minorHAnsi" w:hAnsiTheme="minorHAnsi" w:cstheme="minorHAnsi"/>
          <w:sz w:val="24"/>
          <w:szCs w:val="24"/>
        </w:rPr>
        <w:t xml:space="preserve"> may give such directions as to the occupation and use of the premises of a community or community special school as </w:t>
      </w:r>
      <w:r w:rsidR="006D049C">
        <w:rPr>
          <w:rStyle w:val="legrepeal5"/>
          <w:rFonts w:asciiTheme="minorHAnsi" w:hAnsiTheme="minorHAnsi" w:cstheme="minorHAnsi"/>
          <w:sz w:val="24"/>
          <w:szCs w:val="24"/>
        </w:rPr>
        <w:t>it</w:t>
      </w:r>
      <w:r w:rsidR="006D049C" w:rsidRPr="008A4E13">
        <w:rPr>
          <w:rStyle w:val="legrepeal5"/>
          <w:rFonts w:asciiTheme="minorHAnsi" w:hAnsiTheme="minorHAnsi" w:cstheme="minorHAnsi"/>
          <w:sz w:val="24"/>
          <w:szCs w:val="24"/>
        </w:rPr>
        <w:t xml:space="preserve"> think</w:t>
      </w:r>
      <w:r w:rsidR="006D049C">
        <w:rPr>
          <w:rStyle w:val="legrepeal5"/>
          <w:rFonts w:asciiTheme="minorHAnsi" w:hAnsiTheme="minorHAnsi" w:cstheme="minorHAnsi"/>
          <w:sz w:val="24"/>
          <w:szCs w:val="24"/>
        </w:rPr>
        <w:t>s</w:t>
      </w:r>
      <w:r w:rsidR="006D049C" w:rsidRPr="008A4E13">
        <w:rPr>
          <w:rStyle w:val="legrepeal5"/>
          <w:rFonts w:asciiTheme="minorHAnsi" w:hAnsiTheme="minorHAnsi" w:cstheme="minorHAnsi"/>
          <w:sz w:val="24"/>
          <w:szCs w:val="24"/>
        </w:rPr>
        <w:t xml:space="preserve"> fit.</w:t>
      </w:r>
      <w:r w:rsidR="006D049C">
        <w:rPr>
          <w:rStyle w:val="legrepeal5"/>
          <w:rFonts w:asciiTheme="minorHAnsi" w:hAnsiTheme="minorHAnsi" w:cstheme="minorHAnsi"/>
          <w:sz w:val="24"/>
          <w:szCs w:val="24"/>
        </w:rPr>
        <w:t xml:space="preserve"> For academies, local authorities can report health and safety matters to the Secretary of State.</w:t>
      </w:r>
    </w:p>
    <w:p w14:paraId="5E576C4F" w14:textId="17AAF6EB" w:rsidR="00570BE2" w:rsidRDefault="00570BE2" w:rsidP="0096763B">
      <w:pPr>
        <w:rPr>
          <w:sz w:val="24"/>
          <w:szCs w:val="24"/>
        </w:rPr>
      </w:pPr>
    </w:p>
    <w:p w14:paraId="4E20813C" w14:textId="77777777" w:rsidR="00570BE2" w:rsidRDefault="00570BE2" w:rsidP="0096763B">
      <w:pPr>
        <w:rPr>
          <w:sz w:val="24"/>
          <w:szCs w:val="24"/>
        </w:rPr>
      </w:pPr>
    </w:p>
    <w:p w14:paraId="2391A506" w14:textId="77777777" w:rsidR="0096763B" w:rsidRDefault="0096763B" w:rsidP="0096763B"/>
    <w:p w14:paraId="2574A37F" w14:textId="5C10CA33" w:rsidR="0096763B" w:rsidRDefault="00972F32" w:rsidP="0096763B">
      <w:r>
        <w:t xml:space="preserve">Version 3 </w:t>
      </w:r>
      <w:r w:rsidR="00E507CD">
        <w:t>August 2021</w:t>
      </w:r>
    </w:p>
    <w:p w14:paraId="22FBE53A" w14:textId="77777777" w:rsidR="002B2225" w:rsidRDefault="002B2225" w:rsidP="002B2225">
      <w:pPr>
        <w:pStyle w:val="Default"/>
      </w:pPr>
    </w:p>
    <w:p w14:paraId="2D59EB8C" w14:textId="77777777" w:rsidR="00502596" w:rsidRDefault="00502596"/>
    <w:sectPr w:rsidR="00502596">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16F92" w14:textId="77777777" w:rsidR="00CB2E5D" w:rsidRDefault="00CB2E5D" w:rsidP="0096763B">
      <w:r>
        <w:separator/>
      </w:r>
    </w:p>
  </w:endnote>
  <w:endnote w:type="continuationSeparator" w:id="0">
    <w:p w14:paraId="1B362028" w14:textId="77777777" w:rsidR="00CB2E5D" w:rsidRDefault="00CB2E5D" w:rsidP="0096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49910" w14:textId="77777777" w:rsidR="0096763B" w:rsidRDefault="0096763B">
    <w:pPr>
      <w:pStyle w:val="Footer"/>
    </w:pPr>
    <w:r>
      <w:rPr>
        <w:noProof/>
      </w:rPr>
      <mc:AlternateContent>
        <mc:Choice Requires="wps">
          <w:drawing>
            <wp:inline distT="0" distB="0" distL="0" distR="0" wp14:anchorId="798BD139" wp14:editId="4A6ABF90">
              <wp:extent cx="443865" cy="443865"/>
              <wp:effectExtent l="0" t="0" r="8890" b="16510"/>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7B772" w14:textId="77777777" w:rsidR="0096763B" w:rsidRPr="0096763B" w:rsidRDefault="0096763B">
                          <w:pPr>
                            <w:rPr>
                              <w:rFonts w:eastAsia="Calibri"/>
                              <w:color w:val="000000"/>
                              <w:sz w:val="20"/>
                              <w:szCs w:val="20"/>
                            </w:rPr>
                          </w:pPr>
                          <w:r w:rsidRPr="0096763B">
                            <w:rPr>
                              <w:rFonts w:eastAsia="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98BD139" id="_x0000_t202" coordsize="21600,21600" o:spt="202" path="m,l,21600r21600,l21600,xe">
              <v:stroke joinstyle="miter"/>
              <v:path gradientshapeok="t" o:connecttype="rect"/>
            </v:shapetype>
            <v:shape id="Text Box 2" o:spid="_x0000_s1026"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" filled="f" stroked="f">
              <v:textbox style="mso-fit-shape-to-text:t" inset="0,0,0,0">
                <w:txbxContent>
                  <w:p w14:paraId="1A97B772" w14:textId="77777777" w:rsidR="0096763B" w:rsidRPr="0096763B" w:rsidRDefault="0096763B">
                    <w:pPr>
                      <w:rPr>
                        <w:rFonts w:eastAsia="Calibri"/>
                        <w:color w:val="000000"/>
                        <w:sz w:val="20"/>
                        <w:szCs w:val="20"/>
                      </w:rPr>
                    </w:pPr>
                    <w:r w:rsidRPr="0096763B">
                      <w:rPr>
                        <w:rFonts w:eastAsia="Calibri"/>
                        <w:color w:val="000000"/>
                        <w:sz w:val="20"/>
                        <w:szCs w:val="20"/>
                      </w:rPr>
                      <w:t>CONTROLLED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C162" w14:textId="55475365" w:rsidR="0096763B" w:rsidRPr="0084651D" w:rsidRDefault="0084651D">
    <w:pPr>
      <w:pStyle w:val="Footer"/>
      <w:rPr>
        <w:rFonts w:ascii="Arial" w:hAnsi="Arial" w:cs="Arial"/>
      </w:rPr>
    </w:pPr>
    <w:r w:rsidRPr="0084651D">
      <w:rPr>
        <w:rFonts w:ascii="Arial" w:hAnsi="Arial" w:cs="Arial"/>
      </w:rPr>
      <w:t>Public</w:t>
    </w:r>
    <w:r w:rsidRPr="0084651D">
      <w:rPr>
        <w:rFonts w:ascii="Arial" w:hAnsi="Arial" w:cs="Arial"/>
      </w:rPr>
      <w:tab/>
    </w:r>
    <w:r w:rsidRPr="0084651D">
      <w:rPr>
        <w:rFonts w:ascii="Arial" w:hAnsi="Arial" w:cs="Arial"/>
      </w:rPr>
      <w:tab/>
      <w:t>1</w:t>
    </w:r>
    <w:r w:rsidR="004A6D24">
      <w:rPr>
        <w:rFonts w:ascii="Arial" w:hAnsi="Arial" w:cs="Arial"/>
      </w:rPr>
      <w:t>5</w:t>
    </w:r>
    <w:r w:rsidRPr="0084651D">
      <w:rPr>
        <w:rFonts w:ascii="Arial" w:hAnsi="Arial" w:cs="Arial"/>
      </w:rPr>
      <w:t>/09/2021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4642" w14:textId="77777777" w:rsidR="0096763B" w:rsidRDefault="0096763B">
    <w:pPr>
      <w:pStyle w:val="Footer"/>
    </w:pPr>
    <w:r>
      <w:rPr>
        <w:noProof/>
      </w:rPr>
      <mc:AlternateContent>
        <mc:Choice Requires="wps">
          <w:drawing>
            <wp:inline distT="0" distB="0" distL="0" distR="0" wp14:anchorId="673335E5" wp14:editId="4E8B100F">
              <wp:extent cx="443865" cy="443865"/>
              <wp:effectExtent l="0" t="0" r="8890" b="16510"/>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1EDC0" w14:textId="77777777" w:rsidR="0096763B" w:rsidRPr="0096763B" w:rsidRDefault="0096763B">
                          <w:pPr>
                            <w:rPr>
                              <w:rFonts w:eastAsia="Calibri"/>
                              <w:color w:val="000000"/>
                              <w:sz w:val="20"/>
                              <w:szCs w:val="20"/>
                            </w:rPr>
                          </w:pPr>
                          <w:r w:rsidRPr="0096763B">
                            <w:rPr>
                              <w:rFonts w:eastAsia="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73335E5" id="_x0000_t202" coordsize="21600,21600" o:spt="202" path="m,l,21600r21600,l21600,xe">
              <v:stroke joinstyle="miter"/>
              <v:path gradientshapeok="t" o:connecttype="rect"/>
            </v:shapetype>
            <v:shape id="Text Box 1" o:spid="_x0000_s1027" type="#_x0000_t202" alt="CONTROLL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" filled="f" stroked="f">
              <v:textbox style="mso-fit-shape-to-text:t" inset="0,0,0,0">
                <w:txbxContent>
                  <w:p w14:paraId="6051EDC0" w14:textId="77777777" w:rsidR="0096763B" w:rsidRPr="0096763B" w:rsidRDefault="0096763B">
                    <w:pPr>
                      <w:rPr>
                        <w:rFonts w:eastAsia="Calibri"/>
                        <w:color w:val="000000"/>
                        <w:sz w:val="20"/>
                        <w:szCs w:val="20"/>
                      </w:rPr>
                    </w:pPr>
                    <w:r w:rsidRPr="0096763B">
                      <w:rPr>
                        <w:rFonts w:eastAsia="Calibri"/>
                        <w:color w:val="000000"/>
                        <w:sz w:val="20"/>
                        <w:szCs w:val="20"/>
                      </w:rPr>
                      <w:t>CONTROLLED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0F0C" w14:textId="77777777" w:rsidR="00CB2E5D" w:rsidRDefault="00CB2E5D" w:rsidP="0096763B">
      <w:r>
        <w:separator/>
      </w:r>
    </w:p>
  </w:footnote>
  <w:footnote w:type="continuationSeparator" w:id="0">
    <w:p w14:paraId="2C6CCC7E" w14:textId="77777777" w:rsidR="00CB2E5D" w:rsidRDefault="00CB2E5D" w:rsidP="0096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C17"/>
    <w:multiLevelType w:val="hybridMultilevel"/>
    <w:tmpl w:val="AD80B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032840"/>
    <w:multiLevelType w:val="hybridMultilevel"/>
    <w:tmpl w:val="C7C0C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FE54497"/>
    <w:multiLevelType w:val="hybridMultilevel"/>
    <w:tmpl w:val="465CB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3B"/>
    <w:rsid w:val="000334B9"/>
    <w:rsid w:val="00046066"/>
    <w:rsid w:val="00052CDC"/>
    <w:rsid w:val="000A1F02"/>
    <w:rsid w:val="00296C1C"/>
    <w:rsid w:val="002B123A"/>
    <w:rsid w:val="002B2225"/>
    <w:rsid w:val="002E24AD"/>
    <w:rsid w:val="003B615F"/>
    <w:rsid w:val="00495A03"/>
    <w:rsid w:val="004A6D24"/>
    <w:rsid w:val="00502596"/>
    <w:rsid w:val="00570BE2"/>
    <w:rsid w:val="005B56B1"/>
    <w:rsid w:val="00600C16"/>
    <w:rsid w:val="006D049C"/>
    <w:rsid w:val="007234E3"/>
    <w:rsid w:val="00724C8C"/>
    <w:rsid w:val="00782B07"/>
    <w:rsid w:val="0084651D"/>
    <w:rsid w:val="008A4E13"/>
    <w:rsid w:val="00934983"/>
    <w:rsid w:val="0096763B"/>
    <w:rsid w:val="00972F32"/>
    <w:rsid w:val="00974ABA"/>
    <w:rsid w:val="009D3793"/>
    <w:rsid w:val="00A13069"/>
    <w:rsid w:val="00B3770E"/>
    <w:rsid w:val="00CB2E5D"/>
    <w:rsid w:val="00D22B4E"/>
    <w:rsid w:val="00D40657"/>
    <w:rsid w:val="00E507CD"/>
    <w:rsid w:val="00EA2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7BB6B"/>
  <w15:chartTrackingRefBased/>
  <w15:docId w15:val="{7EF58B80-27D1-499E-B63E-2CB4C6C2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3B"/>
    <w:pPr>
      <w:spacing w:after="0" w:line="240" w:lineRule="auto"/>
    </w:pPr>
    <w:rPr>
      <w:rFonts w:ascii="Calibri" w:hAnsi="Calibri" w:cs="Calibri"/>
    </w:rPr>
  </w:style>
  <w:style w:type="paragraph" w:styleId="Heading1">
    <w:name w:val="heading 1"/>
    <w:basedOn w:val="Normal"/>
    <w:next w:val="Normal"/>
    <w:link w:val="Heading1Char"/>
    <w:uiPriority w:val="9"/>
    <w:qFormat/>
    <w:rsid w:val="004A6D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6D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63B"/>
    <w:pPr>
      <w:tabs>
        <w:tab w:val="center" w:pos="4513"/>
        <w:tab w:val="right" w:pos="9026"/>
      </w:tabs>
    </w:pPr>
  </w:style>
  <w:style w:type="character" w:customStyle="1" w:styleId="HeaderChar">
    <w:name w:val="Header Char"/>
    <w:basedOn w:val="DefaultParagraphFont"/>
    <w:link w:val="Header"/>
    <w:uiPriority w:val="99"/>
    <w:rsid w:val="0096763B"/>
  </w:style>
  <w:style w:type="paragraph" w:styleId="Footer">
    <w:name w:val="footer"/>
    <w:basedOn w:val="Normal"/>
    <w:link w:val="FooterChar"/>
    <w:uiPriority w:val="99"/>
    <w:unhideWhenUsed/>
    <w:rsid w:val="0096763B"/>
    <w:pPr>
      <w:tabs>
        <w:tab w:val="center" w:pos="4513"/>
        <w:tab w:val="right" w:pos="9026"/>
      </w:tabs>
    </w:pPr>
  </w:style>
  <w:style w:type="character" w:customStyle="1" w:styleId="FooterChar">
    <w:name w:val="Footer Char"/>
    <w:basedOn w:val="DefaultParagraphFont"/>
    <w:link w:val="Footer"/>
    <w:uiPriority w:val="99"/>
    <w:rsid w:val="0096763B"/>
  </w:style>
  <w:style w:type="character" w:styleId="Hyperlink">
    <w:name w:val="Hyperlink"/>
    <w:basedOn w:val="DefaultParagraphFont"/>
    <w:uiPriority w:val="99"/>
    <w:unhideWhenUsed/>
    <w:rsid w:val="0096763B"/>
    <w:rPr>
      <w:color w:val="0563C1"/>
      <w:u w:val="single"/>
    </w:rPr>
  </w:style>
  <w:style w:type="paragraph" w:styleId="ListParagraph">
    <w:name w:val="List Paragraph"/>
    <w:basedOn w:val="Normal"/>
    <w:uiPriority w:val="34"/>
    <w:qFormat/>
    <w:rsid w:val="0096763B"/>
    <w:pPr>
      <w:spacing w:after="160" w:line="252" w:lineRule="auto"/>
      <w:ind w:left="720"/>
      <w:contextualSpacing/>
    </w:pPr>
  </w:style>
  <w:style w:type="character" w:styleId="CommentReference">
    <w:name w:val="annotation reference"/>
    <w:basedOn w:val="DefaultParagraphFont"/>
    <w:uiPriority w:val="99"/>
    <w:semiHidden/>
    <w:unhideWhenUsed/>
    <w:rsid w:val="0096763B"/>
    <w:rPr>
      <w:sz w:val="16"/>
      <w:szCs w:val="16"/>
    </w:rPr>
  </w:style>
  <w:style w:type="paragraph" w:styleId="CommentText">
    <w:name w:val="annotation text"/>
    <w:basedOn w:val="Normal"/>
    <w:link w:val="CommentTextChar"/>
    <w:uiPriority w:val="99"/>
    <w:unhideWhenUsed/>
    <w:rsid w:val="0096763B"/>
    <w:rPr>
      <w:sz w:val="20"/>
      <w:szCs w:val="20"/>
    </w:rPr>
  </w:style>
  <w:style w:type="character" w:customStyle="1" w:styleId="CommentTextChar">
    <w:name w:val="Comment Text Char"/>
    <w:basedOn w:val="DefaultParagraphFont"/>
    <w:link w:val="CommentText"/>
    <w:uiPriority w:val="99"/>
    <w:rsid w:val="0096763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763B"/>
    <w:rPr>
      <w:b/>
      <w:bCs/>
    </w:rPr>
  </w:style>
  <w:style w:type="character" w:customStyle="1" w:styleId="CommentSubjectChar">
    <w:name w:val="Comment Subject Char"/>
    <w:basedOn w:val="CommentTextChar"/>
    <w:link w:val="CommentSubject"/>
    <w:uiPriority w:val="99"/>
    <w:semiHidden/>
    <w:rsid w:val="0096763B"/>
    <w:rPr>
      <w:rFonts w:ascii="Calibri" w:hAnsi="Calibri" w:cs="Calibri"/>
      <w:b/>
      <w:bCs/>
      <w:sz w:val="20"/>
      <w:szCs w:val="20"/>
    </w:rPr>
  </w:style>
  <w:style w:type="paragraph" w:styleId="BalloonText">
    <w:name w:val="Balloon Text"/>
    <w:basedOn w:val="Normal"/>
    <w:link w:val="BalloonTextChar"/>
    <w:uiPriority w:val="99"/>
    <w:semiHidden/>
    <w:unhideWhenUsed/>
    <w:rsid w:val="00967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63B"/>
    <w:rPr>
      <w:rFonts w:ascii="Segoe UI" w:hAnsi="Segoe UI" w:cs="Segoe UI"/>
      <w:sz w:val="18"/>
      <w:szCs w:val="18"/>
    </w:rPr>
  </w:style>
  <w:style w:type="paragraph" w:customStyle="1" w:styleId="Default">
    <w:name w:val="Default"/>
    <w:rsid w:val="002B2225"/>
    <w:pPr>
      <w:autoSpaceDE w:val="0"/>
      <w:autoSpaceDN w:val="0"/>
      <w:adjustRightInd w:val="0"/>
      <w:spacing w:after="0" w:line="240" w:lineRule="auto"/>
    </w:pPr>
    <w:rPr>
      <w:rFonts w:ascii="Arial" w:hAnsi="Arial" w:cs="Arial"/>
      <w:color w:val="000000"/>
      <w:sz w:val="24"/>
      <w:szCs w:val="24"/>
    </w:rPr>
  </w:style>
  <w:style w:type="paragraph" w:customStyle="1" w:styleId="legrhs1">
    <w:name w:val="legrhs1"/>
    <w:basedOn w:val="Normal"/>
    <w:rsid w:val="00570BE2"/>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570BE2"/>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570BE2"/>
    <w:rPr>
      <w:vanish w:val="0"/>
      <w:webHidden w:val="0"/>
      <w:specVanish w:val="0"/>
    </w:rPr>
  </w:style>
  <w:style w:type="character" w:customStyle="1" w:styleId="legchangedelimiter2">
    <w:name w:val="legchangedelimiter2"/>
    <w:basedOn w:val="DefaultParagraphFont"/>
    <w:rsid w:val="00570BE2"/>
    <w:rPr>
      <w:b/>
      <w:bCs/>
      <w:i w:val="0"/>
      <w:iCs w:val="0"/>
      <w:color w:val="000000"/>
      <w:sz w:val="34"/>
      <w:szCs w:val="34"/>
    </w:rPr>
  </w:style>
  <w:style w:type="character" w:customStyle="1" w:styleId="legsubstitution5">
    <w:name w:val="legsubstitution5"/>
    <w:basedOn w:val="DefaultParagraphFont"/>
    <w:rsid w:val="00570BE2"/>
  </w:style>
  <w:style w:type="character" w:customStyle="1" w:styleId="legrepeal5">
    <w:name w:val="legrepeal5"/>
    <w:basedOn w:val="DefaultParagraphFont"/>
    <w:rsid w:val="006D049C"/>
  </w:style>
  <w:style w:type="character" w:customStyle="1" w:styleId="legextentrestriction7">
    <w:name w:val="legextentrestriction7"/>
    <w:basedOn w:val="DefaultParagraphFont"/>
    <w:rsid w:val="006D049C"/>
    <w:rPr>
      <w:b/>
      <w:bCs/>
      <w:i w:val="0"/>
      <w:iCs w:val="0"/>
      <w:vanish/>
      <w:webHidden w:val="0"/>
      <w:color w:val="FFFFFF"/>
      <w:sz w:val="22"/>
      <w:szCs w:val="22"/>
      <w:shd w:val="clear" w:color="auto" w:fill="660066"/>
      <w:specVanish w:val="0"/>
    </w:rPr>
  </w:style>
  <w:style w:type="character" w:styleId="UnresolvedMention">
    <w:name w:val="Unresolved Mention"/>
    <w:basedOn w:val="DefaultParagraphFont"/>
    <w:uiPriority w:val="99"/>
    <w:semiHidden/>
    <w:unhideWhenUsed/>
    <w:rsid w:val="008A4E13"/>
    <w:rPr>
      <w:color w:val="605E5C"/>
      <w:shd w:val="clear" w:color="auto" w:fill="E1DFDD"/>
    </w:rPr>
  </w:style>
  <w:style w:type="character" w:styleId="FollowedHyperlink">
    <w:name w:val="FollowedHyperlink"/>
    <w:basedOn w:val="DefaultParagraphFont"/>
    <w:uiPriority w:val="99"/>
    <w:semiHidden/>
    <w:unhideWhenUsed/>
    <w:rsid w:val="003B615F"/>
    <w:rPr>
      <w:color w:val="954F72" w:themeColor="followedHyperlink"/>
      <w:u w:val="single"/>
    </w:rPr>
  </w:style>
  <w:style w:type="character" w:customStyle="1" w:styleId="Heading1Char">
    <w:name w:val="Heading 1 Char"/>
    <w:basedOn w:val="DefaultParagraphFont"/>
    <w:link w:val="Heading1"/>
    <w:uiPriority w:val="9"/>
    <w:rsid w:val="004A6D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6D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30187">
      <w:bodyDiv w:val="1"/>
      <w:marLeft w:val="0"/>
      <w:marRight w:val="0"/>
      <w:marTop w:val="0"/>
      <w:marBottom w:val="0"/>
      <w:divBdr>
        <w:top w:val="none" w:sz="0" w:space="0" w:color="auto"/>
        <w:left w:val="none" w:sz="0" w:space="0" w:color="auto"/>
        <w:bottom w:val="none" w:sz="0" w:space="0" w:color="auto"/>
        <w:right w:val="none" w:sz="0" w:space="0" w:color="auto"/>
      </w:divBdr>
      <w:divsChild>
        <w:div w:id="1431779653">
          <w:marLeft w:val="0"/>
          <w:marRight w:val="0"/>
          <w:marTop w:val="0"/>
          <w:marBottom w:val="0"/>
          <w:divBdr>
            <w:top w:val="none" w:sz="0" w:space="0" w:color="auto"/>
            <w:left w:val="none" w:sz="0" w:space="0" w:color="auto"/>
            <w:bottom w:val="none" w:sz="0" w:space="0" w:color="auto"/>
            <w:right w:val="none" w:sz="0" w:space="0" w:color="auto"/>
          </w:divBdr>
          <w:divsChild>
            <w:div w:id="868221607">
              <w:marLeft w:val="0"/>
              <w:marRight w:val="0"/>
              <w:marTop w:val="0"/>
              <w:marBottom w:val="0"/>
              <w:divBdr>
                <w:top w:val="single" w:sz="2" w:space="0" w:color="FFFFFF"/>
                <w:left w:val="single" w:sz="6" w:space="0" w:color="FFFFFF"/>
                <w:bottom w:val="single" w:sz="6" w:space="0" w:color="FFFFFF"/>
                <w:right w:val="single" w:sz="6" w:space="0" w:color="FFFFFF"/>
              </w:divBdr>
              <w:divsChild>
                <w:div w:id="17970364">
                  <w:marLeft w:val="0"/>
                  <w:marRight w:val="0"/>
                  <w:marTop w:val="0"/>
                  <w:marBottom w:val="0"/>
                  <w:divBdr>
                    <w:top w:val="single" w:sz="6" w:space="1" w:color="D3D3D3"/>
                    <w:left w:val="none" w:sz="0" w:space="0" w:color="auto"/>
                    <w:bottom w:val="none" w:sz="0" w:space="0" w:color="auto"/>
                    <w:right w:val="none" w:sz="0" w:space="0" w:color="auto"/>
                  </w:divBdr>
                  <w:divsChild>
                    <w:div w:id="376857594">
                      <w:marLeft w:val="0"/>
                      <w:marRight w:val="0"/>
                      <w:marTop w:val="0"/>
                      <w:marBottom w:val="0"/>
                      <w:divBdr>
                        <w:top w:val="none" w:sz="0" w:space="0" w:color="auto"/>
                        <w:left w:val="none" w:sz="0" w:space="0" w:color="auto"/>
                        <w:bottom w:val="none" w:sz="0" w:space="0" w:color="auto"/>
                        <w:right w:val="none" w:sz="0" w:space="0" w:color="auto"/>
                      </w:divBdr>
                      <w:divsChild>
                        <w:div w:id="13525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80483">
      <w:bodyDiv w:val="1"/>
      <w:marLeft w:val="0"/>
      <w:marRight w:val="0"/>
      <w:marTop w:val="0"/>
      <w:marBottom w:val="0"/>
      <w:divBdr>
        <w:top w:val="none" w:sz="0" w:space="0" w:color="auto"/>
        <w:left w:val="none" w:sz="0" w:space="0" w:color="auto"/>
        <w:bottom w:val="none" w:sz="0" w:space="0" w:color="auto"/>
        <w:right w:val="none" w:sz="0" w:space="0" w:color="auto"/>
      </w:divBdr>
    </w:div>
    <w:div w:id="1707441590">
      <w:bodyDiv w:val="1"/>
      <w:marLeft w:val="0"/>
      <w:marRight w:val="0"/>
      <w:marTop w:val="0"/>
      <w:marBottom w:val="0"/>
      <w:divBdr>
        <w:top w:val="none" w:sz="0" w:space="0" w:color="auto"/>
        <w:left w:val="none" w:sz="0" w:space="0" w:color="auto"/>
        <w:bottom w:val="none" w:sz="0" w:space="0" w:color="auto"/>
        <w:right w:val="none" w:sz="0" w:space="0" w:color="auto"/>
      </w:divBdr>
      <w:divsChild>
        <w:div w:id="79062593">
          <w:marLeft w:val="0"/>
          <w:marRight w:val="0"/>
          <w:marTop w:val="0"/>
          <w:marBottom w:val="0"/>
          <w:divBdr>
            <w:top w:val="none" w:sz="0" w:space="0" w:color="auto"/>
            <w:left w:val="none" w:sz="0" w:space="0" w:color="auto"/>
            <w:bottom w:val="none" w:sz="0" w:space="0" w:color="auto"/>
            <w:right w:val="none" w:sz="0" w:space="0" w:color="auto"/>
          </w:divBdr>
          <w:divsChild>
            <w:div w:id="1793094357">
              <w:marLeft w:val="0"/>
              <w:marRight w:val="0"/>
              <w:marTop w:val="0"/>
              <w:marBottom w:val="0"/>
              <w:divBdr>
                <w:top w:val="single" w:sz="2" w:space="0" w:color="FFFFFF"/>
                <w:left w:val="single" w:sz="6" w:space="0" w:color="FFFFFF"/>
                <w:bottom w:val="single" w:sz="6" w:space="0" w:color="FFFFFF"/>
                <w:right w:val="single" w:sz="6" w:space="0" w:color="FFFFFF"/>
              </w:divBdr>
              <w:divsChild>
                <w:div w:id="1007099031">
                  <w:marLeft w:val="0"/>
                  <w:marRight w:val="0"/>
                  <w:marTop w:val="0"/>
                  <w:marBottom w:val="0"/>
                  <w:divBdr>
                    <w:top w:val="single" w:sz="6" w:space="1" w:color="D3D3D3"/>
                    <w:left w:val="none" w:sz="0" w:space="0" w:color="auto"/>
                    <w:bottom w:val="none" w:sz="0" w:space="0" w:color="auto"/>
                    <w:right w:val="none" w:sz="0" w:space="0" w:color="auto"/>
                  </w:divBdr>
                  <w:divsChild>
                    <w:div w:id="1431119339">
                      <w:marLeft w:val="0"/>
                      <w:marRight w:val="0"/>
                      <w:marTop w:val="0"/>
                      <w:marBottom w:val="0"/>
                      <w:divBdr>
                        <w:top w:val="none" w:sz="0" w:space="0" w:color="auto"/>
                        <w:left w:val="none" w:sz="0" w:space="0" w:color="auto"/>
                        <w:bottom w:val="none" w:sz="0" w:space="0" w:color="auto"/>
                        <w:right w:val="none" w:sz="0" w:space="0" w:color="auto"/>
                      </w:divBdr>
                      <w:divsChild>
                        <w:div w:id="15755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65166/High_needs_operational_guide_-_2020_to_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65166/High_needs_operational_guide_-_2020_to_20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865166/High_needs_operational_guide_-_2020_to_2021.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05693/BB104.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4E55-CB86-4DDD-B427-CF66E41D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 factor commissioning for special school and enhanced resource provision within mainstream schools</dc:title>
  <dc:subject/>
  <dc:creator>Derbyshire County Council</dc:creator>
  <cp:keywords/>
  <dc:description/>
  <cp:lastModifiedBy>Joshua Rice (Childrens Services)</cp:lastModifiedBy>
  <cp:revision>8</cp:revision>
  <dcterms:created xsi:type="dcterms:W3CDTF">2021-08-13T17:01:00Z</dcterms:created>
  <dcterms:modified xsi:type="dcterms:W3CDTF">2021-09-15T11:11:00Z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2021-06-16T13:34:09Z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c7d9c542-4828-4e4b-9e25-c557aba17ffc</vt:lpwstr>
  </property>
  <property fmtid="{D5CDD505-2E9C-101B-9397-08002B2CF9AE}" pid="11" name="MSIP_Label_768904da-5dbb-4716-9521-7a682c6e8720_ContentBits">
    <vt:lpwstr>2</vt:lpwstr>
  </property>
</Properties>
</file>